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b w:val="1"/>
        </w:rPr>
      </w:pPr>
      <w:bookmarkStart w:id="0" w:name="_GoBack"/>
      <w:bookmarkEnd w:id="0"/>
      <w:r>
        <w:rPr>
          <w:rFonts w:hint="eastAsia"/>
        </w:rPr>
        <w:t>飲料用自動販売機設置に係る公有財産賃貸借契約書</w:t>
      </w:r>
      <w:r>
        <w:rPr>
          <w:rFonts w:hint="eastAsia" w:ascii="BIZ UDP明朝 Medium" w:hAnsi="BIZ UDP明朝 Medium" w:eastAsia="BIZ UDP明朝 Medium"/>
          <w:b w:val="1"/>
        </w:rPr>
        <w:t>（案）</w:t>
      </w:r>
    </w:p>
    <w:p>
      <w:pPr>
        <w:pStyle w:val="0"/>
        <w:rPr>
          <w:rFonts w:hint="default"/>
        </w:rPr>
      </w:pPr>
    </w:p>
    <w:p>
      <w:pPr>
        <w:pStyle w:val="0"/>
        <w:rPr>
          <w:rFonts w:hint="default"/>
        </w:rPr>
      </w:pPr>
    </w:p>
    <w:p>
      <w:pPr>
        <w:pStyle w:val="0"/>
        <w:ind w:firstLine="231" w:firstLineChars="100"/>
        <w:rPr>
          <w:rFonts w:hint="default"/>
        </w:rPr>
      </w:pPr>
      <w:r>
        <w:rPr>
          <w:rFonts w:hint="eastAsia"/>
        </w:rPr>
        <w:t>１　</w:t>
      </w:r>
      <w:r>
        <w:rPr>
          <w:rFonts w:hint="eastAsia"/>
          <w:spacing w:val="108"/>
          <w:kern w:val="0"/>
          <w:fitText w:val="1155" w:id="1"/>
        </w:rPr>
        <w:t>事項</w:t>
      </w:r>
      <w:r>
        <w:rPr>
          <w:rFonts w:hint="eastAsia"/>
          <w:spacing w:val="1"/>
          <w:kern w:val="0"/>
          <w:fitText w:val="1155" w:id="1"/>
        </w:rPr>
        <w:t>名</w:t>
      </w:r>
      <w:r>
        <w:rPr>
          <w:rFonts w:hint="eastAsia"/>
        </w:rPr>
        <w:t>　　令和７年度日向市学校給食センター自動販売機設置場所貸付</w:t>
      </w:r>
    </w:p>
    <w:p>
      <w:pPr>
        <w:pStyle w:val="0"/>
        <w:rPr>
          <w:rFonts w:hint="default"/>
        </w:rPr>
      </w:pPr>
    </w:p>
    <w:p>
      <w:pPr>
        <w:pStyle w:val="0"/>
        <w:ind w:firstLine="231" w:firstLineChars="100"/>
        <w:rPr>
          <w:rFonts w:hint="default"/>
        </w:rPr>
      </w:pPr>
      <w:r>
        <w:rPr>
          <w:rFonts w:hint="eastAsia"/>
        </w:rPr>
        <w:t>２　</w:t>
      </w:r>
      <w:r>
        <w:rPr>
          <w:rFonts w:hint="eastAsia"/>
          <w:spacing w:val="32"/>
          <w:kern w:val="0"/>
          <w:fitText w:val="1155" w:id="2"/>
        </w:rPr>
        <w:t>貸付物</w:t>
      </w:r>
      <w:r>
        <w:rPr>
          <w:rFonts w:hint="eastAsia"/>
          <w:spacing w:val="1"/>
          <w:kern w:val="0"/>
          <w:fitText w:val="1155" w:id="2"/>
        </w:rPr>
        <w:t>件</w:t>
      </w:r>
    </w:p>
    <w:tbl>
      <w:tblPr>
        <w:tblStyle w:val="30"/>
        <w:tblW w:w="9072" w:type="dxa"/>
        <w:tblInd w:w="817" w:type="dxa"/>
        <w:tblLayout w:type="fixed"/>
        <w:tblLook w:firstRow="1" w:lastRow="0" w:firstColumn="1" w:lastColumn="0" w:noHBand="0" w:noVBand="1" w:val="04A0"/>
      </w:tblPr>
      <w:tblGrid>
        <w:gridCol w:w="3119"/>
        <w:gridCol w:w="1417"/>
        <w:gridCol w:w="3260"/>
        <w:gridCol w:w="1276"/>
      </w:tblGrid>
      <w:tr>
        <w:trPr/>
        <w:tc>
          <w:tcPr>
            <w:tcW w:w="3119" w:type="dxa"/>
            <w:vAlign w:val="top"/>
          </w:tcPr>
          <w:p>
            <w:pPr>
              <w:pStyle w:val="0"/>
              <w:jc w:val="center"/>
              <w:rPr>
                <w:rFonts w:hint="default"/>
              </w:rPr>
            </w:pPr>
            <w:r>
              <w:rPr>
                <w:rFonts w:hint="eastAsia"/>
              </w:rPr>
              <w:t>施設等名称</w:t>
            </w:r>
          </w:p>
        </w:tc>
        <w:tc>
          <w:tcPr>
            <w:tcW w:w="1417" w:type="dxa"/>
            <w:vAlign w:val="top"/>
          </w:tcPr>
          <w:p>
            <w:pPr>
              <w:pStyle w:val="0"/>
              <w:jc w:val="center"/>
              <w:rPr>
                <w:rFonts w:hint="default"/>
              </w:rPr>
            </w:pPr>
            <w:r>
              <w:rPr>
                <w:rFonts w:hint="eastAsia"/>
              </w:rPr>
              <w:t>貸付場所</w:t>
            </w:r>
          </w:p>
        </w:tc>
        <w:tc>
          <w:tcPr>
            <w:tcW w:w="3260" w:type="dxa"/>
            <w:vAlign w:val="top"/>
          </w:tcPr>
          <w:p>
            <w:pPr>
              <w:pStyle w:val="0"/>
              <w:jc w:val="center"/>
              <w:rPr>
                <w:rFonts w:hint="default"/>
              </w:rPr>
            </w:pPr>
            <w:r>
              <w:rPr>
                <w:rFonts w:hint="eastAsia"/>
              </w:rPr>
              <w:t>施設等所在地</w:t>
            </w:r>
          </w:p>
        </w:tc>
        <w:tc>
          <w:tcPr>
            <w:tcW w:w="1276" w:type="dxa"/>
            <w:vAlign w:val="top"/>
          </w:tcPr>
          <w:p>
            <w:pPr>
              <w:pStyle w:val="0"/>
              <w:jc w:val="center"/>
              <w:rPr>
                <w:rFonts w:hint="default"/>
              </w:rPr>
            </w:pPr>
            <w:r>
              <w:rPr>
                <w:rFonts w:hint="eastAsia"/>
              </w:rPr>
              <w:t>貸付面積</w:t>
            </w:r>
          </w:p>
        </w:tc>
      </w:tr>
      <w:tr>
        <w:trPr/>
        <w:tc>
          <w:tcPr>
            <w:tcW w:w="3119" w:type="dxa"/>
            <w:vAlign w:val="top"/>
          </w:tcPr>
          <w:p>
            <w:pPr>
              <w:pStyle w:val="0"/>
              <w:rPr>
                <w:rFonts w:hint="default"/>
              </w:rPr>
            </w:pPr>
            <w:r>
              <w:rPr>
                <w:rFonts w:hint="eastAsia"/>
              </w:rPr>
              <w:t>日向市学校給食センター</w:t>
            </w:r>
          </w:p>
        </w:tc>
        <w:tc>
          <w:tcPr>
            <w:tcW w:w="1417" w:type="dxa"/>
            <w:vAlign w:val="top"/>
          </w:tcPr>
          <w:p>
            <w:pPr>
              <w:pStyle w:val="0"/>
              <w:rPr>
                <w:rFonts w:hint="default"/>
                <w:sz w:val="20"/>
              </w:rPr>
            </w:pPr>
            <w:r>
              <w:rPr>
                <w:rFonts w:hint="eastAsia"/>
                <w:sz w:val="20"/>
              </w:rPr>
              <w:t>西側（施設外）</w:t>
            </w:r>
          </w:p>
        </w:tc>
        <w:tc>
          <w:tcPr>
            <w:tcW w:w="3260" w:type="dxa"/>
            <w:vAlign w:val="top"/>
          </w:tcPr>
          <w:p>
            <w:pPr>
              <w:pStyle w:val="0"/>
              <w:rPr>
                <w:rFonts w:hint="default"/>
                <w:sz w:val="20"/>
              </w:rPr>
            </w:pPr>
            <w:r>
              <w:rPr>
                <w:rFonts w:hint="eastAsia"/>
                <w:sz w:val="20"/>
              </w:rPr>
              <w:t>日向市大字塩見</w:t>
            </w:r>
            <w:r>
              <w:rPr>
                <w:rFonts w:hint="eastAsia" w:ascii="BIZ UDP明朝 Medium" w:hAnsi="BIZ UDP明朝 Medium" w:eastAsia="BIZ UDP明朝 Medium"/>
                <w:sz w:val="20"/>
              </w:rPr>
              <w:t>３０１６</w:t>
            </w:r>
            <w:r>
              <w:rPr>
                <w:rFonts w:hint="eastAsia"/>
                <w:sz w:val="20"/>
              </w:rPr>
              <w:t>番地</w:t>
            </w:r>
            <w:r>
              <w:rPr>
                <w:rFonts w:hint="eastAsia" w:ascii="BIZ UDP明朝 Medium" w:hAnsi="BIZ UDP明朝 Medium" w:eastAsia="BIZ UDP明朝 Medium"/>
                <w:sz w:val="20"/>
              </w:rPr>
              <w:t>３</w:t>
            </w:r>
          </w:p>
        </w:tc>
        <w:tc>
          <w:tcPr>
            <w:tcW w:w="1276" w:type="dxa"/>
            <w:vAlign w:val="top"/>
          </w:tcPr>
          <w:p>
            <w:pPr>
              <w:pStyle w:val="0"/>
              <w:jc w:val="right"/>
              <w:rPr>
                <w:rFonts w:hint="default"/>
              </w:rPr>
            </w:pPr>
            <w:r>
              <w:rPr>
                <w:rFonts w:hint="eastAsia" w:ascii="BIZ UDP明朝 Medium" w:hAnsi="BIZ UDP明朝 Medium" w:eastAsia="BIZ UDP明朝 Medium"/>
                <w:sz w:val="20"/>
              </w:rPr>
              <w:t>１</w:t>
            </w:r>
            <w:r>
              <w:rPr>
                <w:rFonts w:hint="eastAsia" w:ascii="BIZ UDP明朝 Medium" w:hAnsi="BIZ UDP明朝 Medium" w:eastAsia="BIZ UDP明朝 Medium"/>
                <w:sz w:val="20"/>
              </w:rPr>
              <w:t>.</w:t>
            </w:r>
            <w:r>
              <w:rPr>
                <w:rFonts w:hint="eastAsia" w:ascii="BIZ UDP明朝 Medium" w:hAnsi="BIZ UDP明朝 Medium" w:eastAsia="BIZ UDP明朝 Medium"/>
                <w:sz w:val="20"/>
              </w:rPr>
              <w:t>８２</w:t>
            </w:r>
            <w:r>
              <w:rPr>
                <w:rFonts w:hint="eastAsia"/>
              </w:rPr>
              <w:t>㎡</w:t>
            </w:r>
          </w:p>
        </w:tc>
      </w:tr>
      <w:tr>
        <w:trPr/>
        <w:tc>
          <w:tcPr>
            <w:tcW w:w="9072" w:type="dxa"/>
            <w:gridSpan w:val="4"/>
            <w:vAlign w:val="center"/>
          </w:tcPr>
          <w:p>
            <w:pPr>
              <w:pStyle w:val="0"/>
              <w:rPr>
                <w:rFonts w:hint="default"/>
              </w:rPr>
            </w:pPr>
            <w:r>
              <w:rPr>
                <w:rFonts w:hint="eastAsia"/>
              </w:rPr>
              <w:t>災害対応型：なし　　　　　　　　　　配色指定：なし</w:t>
            </w:r>
          </w:p>
        </w:tc>
      </w:tr>
    </w:tbl>
    <w:p>
      <w:pPr>
        <w:pStyle w:val="0"/>
        <w:rPr>
          <w:rFonts w:hint="default"/>
        </w:rPr>
      </w:pPr>
    </w:p>
    <w:p>
      <w:pPr>
        <w:pStyle w:val="0"/>
        <w:ind w:firstLine="231" w:firstLineChars="100"/>
        <w:rPr>
          <w:rFonts w:hint="default"/>
        </w:rPr>
      </w:pPr>
      <w:r>
        <w:rPr>
          <w:rFonts w:hint="eastAsia"/>
        </w:rPr>
        <w:t>３　</w:t>
      </w:r>
      <w:r>
        <w:rPr>
          <w:rFonts w:hint="eastAsia"/>
          <w:spacing w:val="32"/>
          <w:kern w:val="0"/>
          <w:fitText w:val="1155" w:id="3"/>
        </w:rPr>
        <w:t>貸付期</w:t>
      </w:r>
      <w:r>
        <w:rPr>
          <w:rFonts w:hint="eastAsia"/>
          <w:spacing w:val="1"/>
          <w:kern w:val="0"/>
          <w:fitText w:val="1155" w:id="3"/>
        </w:rPr>
        <w:t>間</w:t>
      </w:r>
      <w:r>
        <w:rPr>
          <w:rFonts w:hint="eastAsia"/>
        </w:rPr>
        <w:t>　　自　令和</w:t>
      </w:r>
      <w:r>
        <w:rPr>
          <w:rFonts w:hint="eastAsia"/>
        </w:rPr>
        <w:t xml:space="preserve"> </w:t>
      </w:r>
      <w:r>
        <w:rPr>
          <w:rFonts w:hint="eastAsia"/>
        </w:rPr>
        <w:t>７</w:t>
      </w:r>
      <w:r>
        <w:rPr>
          <w:rFonts w:hint="eastAsia"/>
        </w:rPr>
        <w:t xml:space="preserve"> </w:t>
      </w:r>
      <w:r>
        <w:rPr>
          <w:rFonts w:hint="eastAsia"/>
        </w:rPr>
        <w:t>年</w:t>
      </w:r>
      <w:r>
        <w:rPr>
          <w:rFonts w:hint="eastAsia"/>
        </w:rPr>
        <w:t xml:space="preserve"> </w:t>
      </w:r>
      <w:r>
        <w:rPr>
          <w:rFonts w:hint="eastAsia"/>
        </w:rPr>
        <w:t>６</w:t>
      </w:r>
      <w:r>
        <w:rPr>
          <w:rFonts w:hint="eastAsia"/>
        </w:rPr>
        <w:t xml:space="preserve"> </w:t>
      </w:r>
      <w:r>
        <w:rPr>
          <w:rFonts w:hint="eastAsia"/>
        </w:rPr>
        <w:t>月</w:t>
      </w:r>
      <w:r>
        <w:rPr>
          <w:rFonts w:hint="eastAsia"/>
        </w:rPr>
        <w:t xml:space="preserve"> </w:t>
      </w:r>
      <w:r>
        <w:rPr>
          <w:rFonts w:hint="eastAsia"/>
        </w:rPr>
        <w:t>１</w:t>
      </w:r>
      <w:r>
        <w:rPr>
          <w:rFonts w:hint="eastAsia"/>
        </w:rPr>
        <w:t xml:space="preserve"> </w:t>
      </w:r>
      <w:r>
        <w:rPr>
          <w:rFonts w:hint="eastAsia"/>
        </w:rPr>
        <w:t>日　～　至　令和</w:t>
      </w:r>
      <w:r>
        <w:rPr>
          <w:rFonts w:hint="eastAsia" w:asciiTheme="minorEastAsia" w:hAnsiTheme="minorEastAsia" w:eastAsiaTheme="minorEastAsia"/>
        </w:rPr>
        <w:t xml:space="preserve"> 10</w:t>
      </w:r>
      <w:r>
        <w:rPr>
          <w:rFonts w:hint="eastAsia"/>
        </w:rPr>
        <w:t xml:space="preserve"> </w:t>
      </w:r>
      <w:r>
        <w:rPr>
          <w:rFonts w:hint="eastAsia"/>
        </w:rPr>
        <w:t>年</w:t>
      </w:r>
      <w:r>
        <w:rPr>
          <w:rFonts w:hint="eastAsia"/>
        </w:rPr>
        <w:t xml:space="preserve"> </w:t>
      </w:r>
      <w:r>
        <w:rPr>
          <w:rFonts w:hint="eastAsia"/>
        </w:rPr>
        <w:t>５</w:t>
      </w:r>
      <w:r>
        <w:rPr>
          <w:rFonts w:hint="eastAsia"/>
        </w:rPr>
        <w:t xml:space="preserve"> </w:t>
      </w:r>
      <w:r>
        <w:rPr>
          <w:rFonts w:hint="eastAsia"/>
        </w:rPr>
        <w:t>月</w:t>
      </w:r>
      <w:r>
        <w:rPr>
          <w:rFonts w:hint="eastAsia" w:asciiTheme="minorEastAsia" w:hAnsiTheme="minorEastAsia" w:eastAsiaTheme="minorEastAsia"/>
        </w:rPr>
        <w:t xml:space="preserve"> 31</w:t>
      </w:r>
      <w:r>
        <w:rPr>
          <w:rFonts w:hint="eastAsia"/>
        </w:rPr>
        <w:t xml:space="preserve"> </w:t>
      </w:r>
      <w:r>
        <w:rPr>
          <w:rFonts w:hint="eastAsia"/>
        </w:rPr>
        <w:t>日</w:t>
      </w:r>
    </w:p>
    <w:p>
      <w:pPr>
        <w:pStyle w:val="0"/>
        <w:rPr>
          <w:rFonts w:hint="default"/>
        </w:rPr>
      </w:pPr>
    </w:p>
    <w:p>
      <w:pPr>
        <w:pStyle w:val="0"/>
        <w:ind w:firstLine="231" w:firstLineChars="100"/>
        <w:rPr>
          <w:rFonts w:hint="default"/>
        </w:rPr>
      </w:pPr>
      <w:r>
        <w:rPr>
          <w:rFonts w:hint="eastAsia"/>
        </w:rPr>
        <w:t>４　</w:t>
      </w:r>
      <w:r>
        <w:rPr>
          <w:rFonts w:hint="eastAsia"/>
          <w:spacing w:val="108"/>
          <w:kern w:val="0"/>
          <w:fitText w:val="1155" w:id="4"/>
        </w:rPr>
        <w:t>貸付</w:t>
      </w:r>
      <w:r>
        <w:rPr>
          <w:rFonts w:hint="eastAsia"/>
          <w:spacing w:val="1"/>
          <w:kern w:val="0"/>
          <w:fitText w:val="1155" w:id="4"/>
        </w:rPr>
        <w:t>料</w:t>
      </w:r>
      <w:r>
        <w:rPr>
          <w:rFonts w:hint="eastAsia"/>
          <w:kern w:val="0"/>
        </w:rPr>
        <w:t>（年額）</w:t>
      </w:r>
    </w:p>
    <w:tbl>
      <w:tblPr>
        <w:tblStyle w:val="30"/>
        <w:tblW w:w="9072" w:type="dxa"/>
        <w:tblInd w:w="817" w:type="dxa"/>
        <w:tblLayout w:type="fixed"/>
        <w:tblLook w:firstRow="1" w:lastRow="0" w:firstColumn="1" w:lastColumn="0" w:noHBand="0" w:noVBand="1" w:val="04A0"/>
      </w:tblPr>
      <w:tblGrid>
        <w:gridCol w:w="1134"/>
        <w:gridCol w:w="1134"/>
        <w:gridCol w:w="1134"/>
        <w:gridCol w:w="1134"/>
        <w:gridCol w:w="1134"/>
        <w:gridCol w:w="1134"/>
        <w:gridCol w:w="1134"/>
        <w:gridCol w:w="1134"/>
      </w:tblGrid>
      <w:tr>
        <w:trPr/>
        <w:tc>
          <w:tcPr>
            <w:tcW w:w="1134" w:type="dxa"/>
            <w:tcBorders>
              <w:top w:val="none" w:color="auto" w:sz="0" w:space="0"/>
              <w:left w:val="none" w:color="auto" w:sz="0" w:space="0"/>
              <w:bottom w:val="dashed" w:color="FFFFFF" w:themeColor="background1" w:sz="4" w:space="0"/>
              <w:right w:val="dashed" w:color="000000" w:themeColor="text1" w:sz="4" w:space="0"/>
              <w:tl2br w:val="none" w:color="auto" w:sz="0" w:space="0"/>
              <w:tr2bl w:val="none" w:color="auto" w:sz="0" w:space="0"/>
            </w:tcBorders>
            <w:vAlign w:val="top"/>
          </w:tcPr>
          <w:p>
            <w:pPr>
              <w:pStyle w:val="0"/>
              <w:jc w:val="right"/>
              <w:rPr>
                <w:rFonts w:hint="default"/>
                <w:sz w:val="21"/>
              </w:rPr>
            </w:pPr>
            <w:r>
              <w:rPr>
                <w:rFonts w:hint="eastAsia"/>
                <w:sz w:val="21"/>
              </w:rPr>
              <w:t>千万</w:t>
            </w:r>
          </w:p>
        </w:tc>
        <w:tc>
          <w:tcPr>
            <w:tcW w:w="1134" w:type="dxa"/>
            <w:tcBorders>
              <w:top w:val="none" w:color="auto" w:sz="0" w:space="0"/>
              <w:left w:val="dashed" w:color="000000" w:themeColor="text1" w:sz="4" w:space="0"/>
              <w:bottom w:val="dashed" w:color="FFFFFF" w:themeColor="background1" w:sz="4" w:space="0"/>
              <w:right w:val="none" w:color="auto" w:sz="0" w:space="0"/>
              <w:tl2br w:val="none" w:color="auto" w:sz="0" w:space="0"/>
              <w:tr2bl w:val="none" w:color="auto" w:sz="0" w:space="0"/>
            </w:tcBorders>
            <w:vAlign w:val="top"/>
          </w:tcPr>
          <w:p>
            <w:pPr>
              <w:pStyle w:val="0"/>
              <w:jc w:val="right"/>
              <w:rPr>
                <w:rFonts w:hint="default"/>
                <w:sz w:val="21"/>
              </w:rPr>
            </w:pPr>
            <w:r>
              <w:rPr>
                <w:rFonts w:hint="eastAsia"/>
                <w:sz w:val="21"/>
              </w:rPr>
              <w:t>百万</w:t>
            </w:r>
          </w:p>
        </w:tc>
        <w:tc>
          <w:tcPr>
            <w:tcW w:w="1134" w:type="dxa"/>
            <w:tcBorders>
              <w:top w:val="none" w:color="auto" w:sz="0" w:space="0"/>
              <w:left w:val="none" w:color="auto" w:sz="0" w:space="0"/>
              <w:bottom w:val="dashed" w:color="FFFFFF" w:themeColor="background1" w:sz="4" w:space="0"/>
              <w:right w:val="dashed" w:color="000000" w:themeColor="text1" w:sz="4" w:space="0"/>
              <w:tl2br w:val="none" w:color="auto" w:sz="0" w:space="0"/>
              <w:tr2bl w:val="none" w:color="auto" w:sz="0" w:space="0"/>
            </w:tcBorders>
            <w:vAlign w:val="top"/>
          </w:tcPr>
          <w:p>
            <w:pPr>
              <w:pStyle w:val="0"/>
              <w:jc w:val="right"/>
              <w:rPr>
                <w:rFonts w:hint="default"/>
                <w:sz w:val="21"/>
              </w:rPr>
            </w:pPr>
            <w:r>
              <w:rPr>
                <w:rFonts w:hint="eastAsia"/>
                <w:sz w:val="21"/>
              </w:rPr>
              <w:t>十万</w:t>
            </w:r>
          </w:p>
        </w:tc>
        <w:tc>
          <w:tcPr>
            <w:tcW w:w="1134" w:type="dxa"/>
            <w:tcBorders>
              <w:top w:val="none" w:color="auto" w:sz="0" w:space="0"/>
              <w:left w:val="dashed" w:color="000000" w:themeColor="text1" w:sz="4" w:space="0"/>
              <w:bottom w:val="dashed" w:color="FFFFFF" w:themeColor="background1" w:sz="4" w:space="0"/>
              <w:right w:val="dashed" w:color="000000" w:themeColor="text1" w:sz="4" w:space="0"/>
              <w:tl2br w:val="none" w:color="auto" w:sz="0" w:space="0"/>
              <w:tr2bl w:val="none" w:color="auto" w:sz="0" w:space="0"/>
            </w:tcBorders>
            <w:vAlign w:val="top"/>
          </w:tcPr>
          <w:p>
            <w:pPr>
              <w:pStyle w:val="0"/>
              <w:jc w:val="right"/>
              <w:rPr>
                <w:rFonts w:hint="default"/>
                <w:sz w:val="21"/>
              </w:rPr>
            </w:pPr>
            <w:r>
              <w:rPr>
                <w:rFonts w:hint="eastAsia"/>
                <w:sz w:val="21"/>
              </w:rPr>
              <w:t>万</w:t>
            </w:r>
          </w:p>
        </w:tc>
        <w:tc>
          <w:tcPr>
            <w:tcW w:w="1134" w:type="dxa"/>
            <w:tcBorders>
              <w:top w:val="none" w:color="auto" w:sz="0" w:space="0"/>
              <w:left w:val="dashed" w:color="000000" w:themeColor="text1" w:sz="4" w:space="0"/>
              <w:bottom w:val="dashed" w:color="FFFFFF" w:themeColor="background1" w:sz="4" w:space="0"/>
              <w:right w:val="none" w:color="auto" w:sz="0" w:space="0"/>
              <w:tl2br w:val="none" w:color="auto" w:sz="0" w:space="0"/>
              <w:tr2bl w:val="none" w:color="auto" w:sz="0" w:space="0"/>
            </w:tcBorders>
            <w:vAlign w:val="top"/>
          </w:tcPr>
          <w:p>
            <w:pPr>
              <w:pStyle w:val="0"/>
              <w:jc w:val="right"/>
              <w:rPr>
                <w:rFonts w:hint="default"/>
                <w:sz w:val="21"/>
              </w:rPr>
            </w:pPr>
            <w:r>
              <w:rPr>
                <w:rFonts w:hint="eastAsia"/>
                <w:sz w:val="21"/>
              </w:rPr>
              <w:t>千</w:t>
            </w:r>
          </w:p>
        </w:tc>
        <w:tc>
          <w:tcPr>
            <w:tcW w:w="1134" w:type="dxa"/>
            <w:tcBorders>
              <w:top w:val="none" w:color="auto" w:sz="0" w:space="0"/>
              <w:left w:val="none" w:color="auto" w:sz="0" w:space="0"/>
              <w:bottom w:val="dashed" w:color="FFFFFF" w:themeColor="background1" w:sz="4" w:space="0"/>
              <w:right w:val="dashed" w:color="000000" w:themeColor="text1" w:sz="4" w:space="0"/>
              <w:tl2br w:val="none" w:color="auto" w:sz="0" w:space="0"/>
              <w:tr2bl w:val="none" w:color="auto" w:sz="0" w:space="0"/>
            </w:tcBorders>
            <w:vAlign w:val="top"/>
          </w:tcPr>
          <w:p>
            <w:pPr>
              <w:pStyle w:val="0"/>
              <w:jc w:val="right"/>
              <w:rPr>
                <w:rFonts w:hint="default"/>
                <w:sz w:val="21"/>
              </w:rPr>
            </w:pPr>
            <w:r>
              <w:rPr>
                <w:rFonts w:hint="eastAsia"/>
                <w:sz w:val="21"/>
              </w:rPr>
              <w:t>百</w:t>
            </w:r>
          </w:p>
        </w:tc>
        <w:tc>
          <w:tcPr>
            <w:tcW w:w="1134" w:type="dxa"/>
            <w:tcBorders>
              <w:top w:val="none" w:color="auto" w:sz="0" w:space="0"/>
              <w:left w:val="dashed" w:color="000000" w:themeColor="text1" w:sz="4" w:space="0"/>
              <w:bottom w:val="dashed" w:color="FFFFFF" w:themeColor="background1" w:sz="4" w:space="0"/>
              <w:right w:val="dashed" w:color="000000" w:themeColor="text1" w:sz="4" w:space="0"/>
              <w:tl2br w:val="none" w:color="auto" w:sz="0" w:space="0"/>
              <w:tr2bl w:val="none" w:color="auto" w:sz="0" w:space="0"/>
            </w:tcBorders>
            <w:vAlign w:val="top"/>
          </w:tcPr>
          <w:p>
            <w:pPr>
              <w:pStyle w:val="0"/>
              <w:jc w:val="right"/>
              <w:rPr>
                <w:rFonts w:hint="default"/>
                <w:sz w:val="21"/>
              </w:rPr>
            </w:pPr>
            <w:r>
              <w:rPr>
                <w:rFonts w:hint="eastAsia"/>
                <w:sz w:val="21"/>
              </w:rPr>
              <w:t>十</w:t>
            </w:r>
          </w:p>
        </w:tc>
        <w:tc>
          <w:tcPr>
            <w:tcW w:w="1134" w:type="dxa"/>
            <w:tcBorders>
              <w:top w:val="none" w:color="auto" w:sz="0" w:space="0"/>
              <w:left w:val="dashed" w:color="000000" w:themeColor="text1" w:sz="4" w:space="0"/>
              <w:bottom w:val="dashed" w:color="FFFFFF" w:themeColor="background1" w:sz="4" w:space="0"/>
              <w:right w:val="none" w:color="auto" w:sz="0" w:space="0"/>
              <w:tl2br w:val="none" w:color="auto" w:sz="0" w:space="0"/>
              <w:tr2bl w:val="none" w:color="auto" w:sz="0" w:space="0"/>
            </w:tcBorders>
            <w:vAlign w:val="top"/>
          </w:tcPr>
          <w:p>
            <w:pPr>
              <w:pStyle w:val="0"/>
              <w:jc w:val="right"/>
              <w:rPr>
                <w:rFonts w:hint="default"/>
                <w:sz w:val="21"/>
              </w:rPr>
            </w:pPr>
            <w:r>
              <w:rPr>
                <w:rFonts w:hint="eastAsia"/>
                <w:sz w:val="21"/>
              </w:rPr>
              <w:t>円</w:t>
            </w:r>
          </w:p>
        </w:tc>
      </w:tr>
      <w:tr>
        <w:trPr>
          <w:trHeight w:val="990" w:hRule="atLeast"/>
        </w:trPr>
        <w:tc>
          <w:tcPr>
            <w:tcW w:w="1134" w:type="dxa"/>
            <w:tcBorders>
              <w:top w:val="dashed" w:color="FFFFFF" w:themeColor="background1" w:sz="4" w:space="0"/>
              <w:left w:val="none" w:color="auto" w:sz="0" w:space="0"/>
              <w:bottom w:val="none" w:color="auto" w:sz="0" w:space="0"/>
              <w:right w:val="dashed" w:color="000000" w:themeColor="text1" w:sz="4" w:space="0"/>
              <w:tl2br w:val="none" w:color="auto" w:sz="0" w:space="0"/>
              <w:tr2bl w:val="none" w:color="auto" w:sz="0" w:space="0"/>
            </w:tcBorders>
            <w:vAlign w:val="center"/>
          </w:tcPr>
          <w:p>
            <w:pPr>
              <w:pStyle w:val="0"/>
              <w:jc w:val="center"/>
              <w:rPr>
                <w:rFonts w:hint="default"/>
                <w:sz w:val="48"/>
              </w:rPr>
            </w:pPr>
          </w:p>
        </w:tc>
        <w:tc>
          <w:tcPr>
            <w:tcW w:w="1134" w:type="dxa"/>
            <w:tcBorders>
              <w:top w:val="dashed" w:color="FFFFFF" w:themeColor="background1" w:sz="4" w:space="0"/>
              <w:left w:val="dashed" w:color="000000" w:themeColor="text1"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48"/>
              </w:rPr>
            </w:pPr>
          </w:p>
        </w:tc>
        <w:tc>
          <w:tcPr>
            <w:tcW w:w="1134" w:type="dxa"/>
            <w:tcBorders>
              <w:top w:val="dashed" w:color="FFFFFF" w:themeColor="background1" w:sz="4" w:space="0"/>
              <w:left w:val="none" w:color="auto" w:sz="0" w:space="0"/>
              <w:bottom w:val="none" w:color="auto" w:sz="0" w:space="0"/>
              <w:right w:val="dashed" w:color="000000" w:themeColor="text1" w:sz="4" w:space="0"/>
              <w:tl2br w:val="none" w:color="auto" w:sz="0" w:space="0"/>
              <w:tr2bl w:val="none" w:color="auto" w:sz="0" w:space="0"/>
            </w:tcBorders>
            <w:vAlign w:val="center"/>
          </w:tcPr>
          <w:p>
            <w:pPr>
              <w:pStyle w:val="0"/>
              <w:jc w:val="center"/>
              <w:rPr>
                <w:rFonts w:hint="default"/>
                <w:sz w:val="48"/>
              </w:rPr>
            </w:pPr>
          </w:p>
        </w:tc>
        <w:tc>
          <w:tcPr>
            <w:tcW w:w="1134" w:type="dxa"/>
            <w:tcBorders>
              <w:top w:val="dashed" w:color="FFFFFF" w:themeColor="background1" w:sz="4" w:space="0"/>
              <w:left w:val="dashed" w:color="000000" w:themeColor="text1" w:sz="4" w:space="0"/>
              <w:bottom w:val="none" w:color="auto" w:sz="0" w:space="0"/>
              <w:right w:val="dashed" w:color="000000" w:themeColor="text1" w:sz="4" w:space="0"/>
              <w:tl2br w:val="none" w:color="auto" w:sz="0" w:space="0"/>
              <w:tr2bl w:val="none" w:color="auto" w:sz="0" w:space="0"/>
            </w:tcBorders>
            <w:vAlign w:val="center"/>
          </w:tcPr>
          <w:p>
            <w:pPr>
              <w:pStyle w:val="0"/>
              <w:jc w:val="center"/>
              <w:rPr>
                <w:rFonts w:hint="default"/>
                <w:sz w:val="48"/>
              </w:rPr>
            </w:pPr>
          </w:p>
        </w:tc>
        <w:tc>
          <w:tcPr>
            <w:tcW w:w="1134" w:type="dxa"/>
            <w:tcBorders>
              <w:top w:val="dashed" w:color="FFFFFF" w:themeColor="background1" w:sz="4" w:space="0"/>
              <w:left w:val="dashed" w:color="000000" w:themeColor="text1"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48"/>
              </w:rPr>
            </w:pPr>
          </w:p>
        </w:tc>
        <w:tc>
          <w:tcPr>
            <w:tcW w:w="1134" w:type="dxa"/>
            <w:tcBorders>
              <w:top w:val="dashed" w:color="FFFFFF" w:themeColor="background1" w:sz="4" w:space="0"/>
              <w:left w:val="none" w:color="auto" w:sz="0" w:space="0"/>
              <w:bottom w:val="none" w:color="auto" w:sz="0" w:space="0"/>
              <w:right w:val="dashed" w:color="000000" w:themeColor="text1" w:sz="4" w:space="0"/>
              <w:tl2br w:val="none" w:color="auto" w:sz="0" w:space="0"/>
              <w:tr2bl w:val="none" w:color="auto" w:sz="0" w:space="0"/>
            </w:tcBorders>
            <w:vAlign w:val="center"/>
          </w:tcPr>
          <w:p>
            <w:pPr>
              <w:pStyle w:val="0"/>
              <w:jc w:val="center"/>
              <w:rPr>
                <w:rFonts w:hint="default"/>
                <w:sz w:val="48"/>
              </w:rPr>
            </w:pPr>
          </w:p>
        </w:tc>
        <w:tc>
          <w:tcPr>
            <w:tcW w:w="1134" w:type="dxa"/>
            <w:tcBorders>
              <w:top w:val="dashed" w:color="FFFFFF" w:themeColor="background1" w:sz="4" w:space="0"/>
              <w:left w:val="dashed" w:color="000000" w:themeColor="text1" w:sz="4" w:space="0"/>
              <w:bottom w:val="none" w:color="auto" w:sz="0" w:space="0"/>
              <w:right w:val="dashed" w:color="000000" w:themeColor="text1" w:sz="4" w:space="0"/>
              <w:tl2br w:val="none" w:color="auto" w:sz="0" w:space="0"/>
              <w:tr2bl w:val="none" w:color="auto" w:sz="0" w:space="0"/>
            </w:tcBorders>
            <w:vAlign w:val="center"/>
          </w:tcPr>
          <w:p>
            <w:pPr>
              <w:pStyle w:val="0"/>
              <w:jc w:val="center"/>
              <w:rPr>
                <w:rFonts w:hint="default"/>
                <w:sz w:val="48"/>
              </w:rPr>
            </w:pPr>
          </w:p>
        </w:tc>
        <w:tc>
          <w:tcPr>
            <w:tcW w:w="1134" w:type="dxa"/>
            <w:tcBorders>
              <w:top w:val="dashed" w:color="FFFFFF" w:themeColor="background1" w:sz="4" w:space="0"/>
              <w:left w:val="dashed" w:color="000000" w:themeColor="text1"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48"/>
              </w:rPr>
            </w:pPr>
          </w:p>
        </w:tc>
      </w:tr>
    </w:tbl>
    <w:p>
      <w:pPr>
        <w:pStyle w:val="0"/>
        <w:jc w:val="right"/>
        <w:rPr>
          <w:rFonts w:hint="default"/>
        </w:rPr>
      </w:pPr>
    </w:p>
    <w:p>
      <w:pPr>
        <w:pStyle w:val="0"/>
        <w:rPr>
          <w:rFonts w:hint="default"/>
        </w:rPr>
      </w:pPr>
    </w:p>
    <w:p>
      <w:pPr>
        <w:pStyle w:val="0"/>
        <w:ind w:firstLine="231" w:firstLineChars="100"/>
        <w:rPr>
          <w:rFonts w:hint="default"/>
        </w:rPr>
      </w:pPr>
      <w:r>
        <w:rPr>
          <w:rFonts w:hint="eastAsia"/>
        </w:rPr>
        <w:t>５　契約保証金　　　</w:t>
      </w:r>
      <w:r>
        <w:rPr>
          <w:rFonts w:hint="eastAsia"/>
        </w:rPr>
        <w:t xml:space="preserve"> </w:t>
      </w:r>
      <w:r>
        <w:rPr>
          <w:rFonts w:hint="eastAsia"/>
        </w:rPr>
        <w:t>要　　　日向市財務規則　　　　条</w:t>
      </w:r>
    </w:p>
    <w:p>
      <w:pPr>
        <w:pStyle w:val="0"/>
        <w:rPr>
          <w:rFonts w:hint="default"/>
        </w:rPr>
      </w:pPr>
      <w:r>
        <w:rPr>
          <w:rFonts w:hint="eastAsia"/>
        </w:rPr>
        <w:t>　　　　　　　　　　　</w:t>
      </w:r>
      <w:r>
        <w:rPr>
          <w:rFonts w:hint="eastAsia"/>
          <w:bdr w:val="single" w:color="auto" w:sz="4" w:space="0"/>
        </w:rPr>
        <w:t>不要</w:t>
      </w:r>
      <w:r>
        <w:rPr>
          <w:rFonts w:hint="eastAsia"/>
        </w:rPr>
        <w:t>　　</w:t>
      </w:r>
      <w:r>
        <w:rPr>
          <w:rFonts w:hint="eastAsia"/>
        </w:rPr>
        <w:t xml:space="preserve"> </w:t>
      </w:r>
      <w:r>
        <w:rPr>
          <w:rFonts w:hint="eastAsia"/>
        </w:rPr>
        <w:t>日向市財務規則第１０９条第３号</w:t>
      </w:r>
    </w:p>
    <w:p>
      <w:pPr>
        <w:pStyle w:val="0"/>
        <w:rPr>
          <w:rFonts w:hint="default"/>
        </w:rPr>
      </w:pPr>
    </w:p>
    <w:p>
      <w:pPr>
        <w:pStyle w:val="0"/>
        <w:ind w:firstLine="231" w:firstLineChars="100"/>
        <w:rPr>
          <w:rFonts w:hint="default"/>
        </w:rPr>
      </w:pPr>
      <w:r>
        <w:rPr>
          <w:rFonts w:hint="eastAsia"/>
        </w:rPr>
        <w:t>上記の貸付について、日向市を貸付人、　　　　　　を借受人とし、各々の対等な立場における合意に基づき、添付の飲料用自動販売機設置に係る公有財産賃貸借契約約款によって借地借家法（平成３年法律第９０号）第３８条の規定（屋外設置の場合は法第２５条の規定）に基づく公有財産の賃貸借契約を締結し、信義に従って誠実にこれを履行するものとする。</w:t>
      </w:r>
    </w:p>
    <w:p>
      <w:pPr>
        <w:pStyle w:val="0"/>
        <w:ind w:firstLine="231" w:firstLineChars="100"/>
        <w:rPr>
          <w:rFonts w:hint="default"/>
        </w:rPr>
      </w:pPr>
      <w:r>
        <w:rPr>
          <w:rFonts w:hint="eastAsia"/>
        </w:rPr>
        <w:t>この契約の証として本書２通を作成し、当事者記名押印の上、各自１通を保有する。</w:t>
      </w:r>
    </w:p>
    <w:p>
      <w:pPr>
        <w:pStyle w:val="0"/>
        <w:rPr>
          <w:rFonts w:hint="default"/>
        </w:rPr>
      </w:pPr>
    </w:p>
    <w:p>
      <w:pPr>
        <w:pStyle w:val="0"/>
        <w:rPr>
          <w:rFonts w:hint="default"/>
        </w:rPr>
      </w:pPr>
    </w:p>
    <w:p>
      <w:pPr>
        <w:pStyle w:val="0"/>
        <w:ind w:firstLine="1846" w:firstLineChars="800"/>
        <w:rPr>
          <w:rFonts w:hint="default"/>
        </w:rPr>
      </w:pPr>
      <w:r>
        <w:rPr>
          <w:rFonts w:hint="eastAsia"/>
        </w:rPr>
        <w:t>令和　　年　　月　　日</w:t>
      </w:r>
    </w:p>
    <w:p>
      <w:pPr>
        <w:pStyle w:val="0"/>
        <w:rPr>
          <w:rFonts w:hint="default"/>
        </w:rPr>
      </w:pPr>
    </w:p>
    <w:p>
      <w:pPr>
        <w:pStyle w:val="0"/>
        <w:ind w:firstLine="2769" w:firstLineChars="1200"/>
        <w:rPr>
          <w:rFonts w:hint="default"/>
        </w:rPr>
      </w:pPr>
      <w:r>
        <w:rPr>
          <w:rFonts w:hint="eastAsia"/>
        </w:rPr>
        <w:t>貸　付　人　　　日向市本町１０番５号</w:t>
      </w:r>
    </w:p>
    <w:p>
      <w:pPr>
        <w:pStyle w:val="0"/>
        <w:ind w:firstLine="4616" w:firstLineChars="2000"/>
        <w:rPr>
          <w:rFonts w:hint="default"/>
        </w:rPr>
      </w:pPr>
      <w:r>
        <w:rPr>
          <w:rFonts w:hint="eastAsia"/>
        </w:rPr>
        <w:t>日向市</w:t>
      </w:r>
    </w:p>
    <w:p>
      <w:pPr>
        <w:pStyle w:val="0"/>
        <w:ind w:firstLine="4616" w:firstLineChars="2000"/>
        <w:rPr>
          <w:rFonts w:hint="default"/>
        </w:rPr>
      </w:pPr>
      <w:r>
        <w:rPr>
          <w:rFonts w:hint="eastAsia"/>
        </w:rPr>
        <w:t>日向市長　　西　村　　賢　　㊞</w:t>
      </w:r>
    </w:p>
    <w:p>
      <w:pPr>
        <w:pStyle w:val="0"/>
        <w:rPr>
          <w:rFonts w:hint="default"/>
        </w:rPr>
      </w:pPr>
    </w:p>
    <w:p>
      <w:pPr>
        <w:pStyle w:val="0"/>
        <w:ind w:firstLine="2769" w:firstLineChars="1200"/>
        <w:rPr>
          <w:rFonts w:hint="default"/>
        </w:rPr>
      </w:pPr>
      <w:r>
        <w:rPr>
          <w:rFonts w:hint="eastAsia"/>
        </w:rPr>
        <w:t>借　受　人　　　住所又は所在地</w:t>
      </w:r>
    </w:p>
    <w:p>
      <w:pPr>
        <w:pStyle w:val="0"/>
        <w:ind w:firstLine="4616" w:firstLineChars="2000"/>
        <w:rPr>
          <w:rFonts w:hint="default"/>
        </w:rPr>
      </w:pPr>
      <w:r>
        <w:rPr>
          <w:rFonts w:hint="eastAsia"/>
        </w:rPr>
        <w:t>商</w:t>
      </w:r>
      <w:r>
        <w:rPr>
          <w:rFonts w:hint="eastAsia"/>
        </w:rPr>
        <w:t xml:space="preserve"> </w:t>
      </w:r>
      <w:r>
        <w:rPr>
          <w:rFonts w:hint="eastAsia"/>
        </w:rPr>
        <w:t>号又は名</w:t>
      </w:r>
      <w:r>
        <w:rPr>
          <w:rFonts w:hint="eastAsia"/>
        </w:rPr>
        <w:t xml:space="preserve"> </w:t>
      </w:r>
      <w:r>
        <w:rPr>
          <w:rFonts w:hint="eastAsia"/>
        </w:rPr>
        <w:t>称</w:t>
      </w:r>
    </w:p>
    <w:p>
      <w:pPr>
        <w:pStyle w:val="0"/>
        <w:ind w:firstLine="4616" w:firstLineChars="2000"/>
        <w:rPr>
          <w:rFonts w:hint="default"/>
        </w:rPr>
      </w:pPr>
      <w:r>
        <w:rPr>
          <w:rFonts w:hint="eastAsia"/>
        </w:rPr>
        <w:t>代表者職・氏名　　　　　　　　　　　　　㊞</w:t>
      </w:r>
      <w:r>
        <w:rPr>
          <w:rFonts w:hint="default"/>
        </w:rPr>
        <w:t xml:space="preserve"> </w:t>
      </w:r>
    </w:p>
    <w:p>
      <w:pPr>
        <w:pStyle w:val="0"/>
        <w:rPr>
          <w:rFonts w:hint="default"/>
        </w:rPr>
      </w:pPr>
    </w:p>
    <w:p>
      <w:pPr>
        <w:pStyle w:val="0"/>
        <w:rPr>
          <w:rFonts w:hint="default"/>
        </w:rPr>
      </w:pPr>
      <w:r>
        <w:rPr>
          <w:rFonts w:hint="default"/>
        </w:rPr>
        <w:br w:type="page"/>
      </w:r>
    </w:p>
    <w:p>
      <w:pPr>
        <w:pStyle w:val="0"/>
        <w:jc w:val="center"/>
        <w:rPr>
          <w:rFonts w:hint="default"/>
        </w:rPr>
      </w:pPr>
      <w:r>
        <w:rPr>
          <w:rFonts w:hint="eastAsia"/>
        </w:rPr>
        <w:t>飲料用自動販売機設置に係る公有財産賃貸借契約約款</w:t>
      </w:r>
    </w:p>
    <w:p>
      <w:pPr>
        <w:pStyle w:val="0"/>
        <w:rPr>
          <w:rFonts w:hint="default"/>
        </w:rPr>
      </w:pPr>
    </w:p>
    <w:p>
      <w:pPr>
        <w:pStyle w:val="0"/>
        <w:rPr>
          <w:rFonts w:hint="default"/>
        </w:rPr>
      </w:pPr>
      <w:r>
        <w:rPr>
          <w:rFonts w:hint="eastAsia"/>
        </w:rPr>
        <w:t>（総則）</w:t>
      </w:r>
    </w:p>
    <w:p>
      <w:pPr>
        <w:pStyle w:val="0"/>
        <w:ind w:left="231" w:hanging="231" w:hangingChars="100"/>
        <w:rPr>
          <w:rFonts w:hint="default"/>
        </w:rPr>
      </w:pPr>
      <w:r>
        <w:rPr>
          <w:rFonts w:hint="eastAsia"/>
        </w:rPr>
        <w:t>第１条　貸付人及び借受人は、標記の契約書及びこの約款（以下「契約書」という。）に基づき、添付の仕様書等に従い、日本国の法令を遵守し、この契約を履行しなければならない。</w:t>
      </w:r>
    </w:p>
    <w:p>
      <w:pPr>
        <w:pStyle w:val="0"/>
        <w:rPr>
          <w:rFonts w:hint="default"/>
        </w:rPr>
      </w:pPr>
      <w:r>
        <w:rPr>
          <w:rFonts w:hint="eastAsia"/>
        </w:rPr>
        <w:t>（貸付期間等）</w:t>
      </w:r>
    </w:p>
    <w:p>
      <w:pPr>
        <w:pStyle w:val="0"/>
        <w:ind w:left="231" w:hanging="231" w:hangingChars="100"/>
        <w:rPr>
          <w:rFonts w:hint="default"/>
        </w:rPr>
      </w:pPr>
      <w:r>
        <w:rPr>
          <w:rFonts w:hint="eastAsia"/>
        </w:rPr>
        <w:t>第２条　この契約は、建物の余裕部分の貸付にあっては借地借家法（平成３年法律第９０号、以下「法」という。）第３８条、敷地の余裕部分の貸付にあっては法第２５条の規定に基づくものであり、法第２６条、第２８条及び第２９条第</w:t>
      </w:r>
      <w:r>
        <w:rPr>
          <w:rFonts w:hint="eastAsia"/>
        </w:rPr>
        <w:t>1</w:t>
      </w:r>
      <w:r>
        <w:rPr>
          <w:rFonts w:hint="eastAsia"/>
        </w:rPr>
        <w:t>項並びに民法（明治２９年法律第８９号）第６０４条の規定は適用されないので、契約更新に係る権利は一切発生せず、貸付期間満了時においてこの契約の更新又は貸付期間の延長は行われないものとする。</w:t>
      </w:r>
    </w:p>
    <w:p>
      <w:pPr>
        <w:pStyle w:val="0"/>
        <w:rPr>
          <w:rFonts w:hint="default"/>
        </w:rPr>
      </w:pPr>
      <w:r>
        <w:rPr>
          <w:rFonts w:hint="eastAsia"/>
        </w:rPr>
        <w:t>（貸付物件の用途等）</w:t>
      </w:r>
    </w:p>
    <w:p>
      <w:pPr>
        <w:pStyle w:val="0"/>
        <w:ind w:left="231" w:hanging="231" w:hangingChars="100"/>
        <w:rPr>
          <w:rFonts w:hint="default"/>
        </w:rPr>
      </w:pPr>
      <w:r>
        <w:rPr>
          <w:rFonts w:hint="eastAsia"/>
        </w:rPr>
        <w:t>第３条　借受人は、自ら貸付物件に自動販売機を設置し、貸付期間中継続して、管理・運営する事業（以下「自動販売機設置運営事業」という。）を行うものとする。</w:t>
      </w:r>
    </w:p>
    <w:p>
      <w:pPr>
        <w:pStyle w:val="0"/>
        <w:ind w:left="231" w:hanging="231" w:hangingChars="100"/>
        <w:rPr>
          <w:rFonts w:hint="default"/>
        </w:rPr>
      </w:pPr>
      <w:r>
        <w:rPr>
          <w:rFonts w:hint="eastAsia"/>
        </w:rPr>
        <w:t>２　借受人は、貸付物件を自動販売機設置運営事業の用途（以下「専用用途」という。）に使用しなければならない。</w:t>
      </w:r>
    </w:p>
    <w:p>
      <w:pPr>
        <w:pStyle w:val="0"/>
        <w:ind w:left="231" w:hanging="231" w:hangingChars="100"/>
        <w:rPr>
          <w:rFonts w:hint="default"/>
        </w:rPr>
      </w:pPr>
      <w:r>
        <w:rPr>
          <w:rFonts w:hint="eastAsia"/>
        </w:rPr>
        <w:t>３　借受人は、貸付物件が公有財産であることを常に考慮し、適切に使用するように留意しなければならない。</w:t>
      </w:r>
    </w:p>
    <w:p>
      <w:pPr>
        <w:pStyle w:val="0"/>
        <w:rPr>
          <w:rFonts w:hint="default"/>
        </w:rPr>
      </w:pPr>
      <w:r>
        <w:rPr>
          <w:rFonts w:hint="eastAsia"/>
        </w:rPr>
        <w:t>（禁止事項）</w:t>
      </w:r>
    </w:p>
    <w:p>
      <w:pPr>
        <w:pStyle w:val="0"/>
        <w:rPr>
          <w:rFonts w:hint="default"/>
        </w:rPr>
      </w:pPr>
      <w:r>
        <w:rPr>
          <w:rFonts w:hint="eastAsia"/>
        </w:rPr>
        <w:t>第４条　借受人は、この契約に基づき次の各号に掲げる行為をしてはならない。</w:t>
      </w:r>
    </w:p>
    <w:p>
      <w:pPr>
        <w:pStyle w:val="0"/>
        <w:rPr>
          <w:rFonts w:hint="default"/>
        </w:rPr>
      </w:pPr>
      <w:r>
        <w:rPr>
          <w:rFonts w:hint="eastAsia"/>
        </w:rPr>
        <w:t>（１）貸付物件を専用用途以外に使用すること。</w:t>
      </w:r>
    </w:p>
    <w:p>
      <w:pPr>
        <w:pStyle w:val="0"/>
        <w:ind w:left="462" w:hanging="462" w:hangingChars="200"/>
        <w:rPr>
          <w:rFonts w:hint="default"/>
        </w:rPr>
      </w:pPr>
      <w:r>
        <w:rPr>
          <w:rFonts w:hint="eastAsia"/>
        </w:rPr>
        <w:t>（２）貸付物件に建物又は工作物（ただし、この契約に基づく自動販売機及び貸付人借受人協議の上、設置するものを除く。）を設置すること。</w:t>
      </w:r>
    </w:p>
    <w:p>
      <w:pPr>
        <w:pStyle w:val="0"/>
        <w:rPr>
          <w:rFonts w:hint="default"/>
        </w:rPr>
      </w:pPr>
      <w:r>
        <w:rPr>
          <w:rFonts w:hint="eastAsia"/>
        </w:rPr>
        <w:t>（３）貸付物件を第三者に転貸し、又はそれに類する行為をすること。</w:t>
      </w:r>
    </w:p>
    <w:p>
      <w:pPr>
        <w:pStyle w:val="0"/>
        <w:rPr>
          <w:rFonts w:hint="default"/>
        </w:rPr>
      </w:pPr>
      <w:r>
        <w:rPr>
          <w:rFonts w:hint="eastAsia"/>
        </w:rPr>
        <w:t>（４）この契約により生ずる権利又は義務を第三者に譲渡、承継すること。</w:t>
      </w:r>
    </w:p>
    <w:p>
      <w:pPr>
        <w:pStyle w:val="0"/>
        <w:ind w:left="462" w:hanging="462" w:hangingChars="200"/>
        <w:rPr>
          <w:rFonts w:hint="default"/>
        </w:rPr>
      </w:pPr>
      <w:r>
        <w:rPr>
          <w:rFonts w:hint="eastAsia"/>
        </w:rPr>
        <w:t>（５）貸付物件に設置する自動販売機で酒税法（昭和２８年法律第６号）第２条による酒類及びその類似品を販売すること。</w:t>
      </w:r>
    </w:p>
    <w:p>
      <w:pPr>
        <w:pStyle w:val="0"/>
        <w:rPr>
          <w:rFonts w:hint="default"/>
        </w:rPr>
      </w:pPr>
      <w:r>
        <w:rPr>
          <w:rFonts w:hint="eastAsia"/>
        </w:rPr>
        <w:t>（６）自動販売機の販売品と直接関係のない広告を掲示すること。</w:t>
      </w:r>
    </w:p>
    <w:p>
      <w:pPr>
        <w:pStyle w:val="0"/>
        <w:rPr>
          <w:rFonts w:hint="default"/>
        </w:rPr>
      </w:pPr>
      <w:r>
        <w:rPr>
          <w:rFonts w:hint="eastAsia"/>
        </w:rPr>
        <w:t>（貸付料の支払）</w:t>
      </w:r>
    </w:p>
    <w:p>
      <w:pPr>
        <w:pStyle w:val="0"/>
        <w:ind w:left="231" w:hanging="231" w:hangingChars="100"/>
        <w:rPr>
          <w:rFonts w:hint="default"/>
        </w:rPr>
      </w:pPr>
      <w:r>
        <w:rPr>
          <w:rFonts w:hint="eastAsia"/>
        </w:rPr>
        <w:t>第５条　借受人は、当該年度分の貸付料にあっては、納入年度の区分に応じ、貸付人が発行する納入通知書により指定の期日までに、納入しなければならない。</w:t>
      </w:r>
    </w:p>
    <w:p>
      <w:pPr>
        <w:pStyle w:val="0"/>
        <w:rPr>
          <w:rFonts w:hint="default"/>
        </w:rPr>
      </w:pPr>
      <w:r>
        <w:rPr>
          <w:rFonts w:hint="eastAsia"/>
        </w:rPr>
        <w:t>（貸付料の改定）</w:t>
      </w:r>
    </w:p>
    <w:p>
      <w:pPr>
        <w:pStyle w:val="0"/>
        <w:ind w:left="231" w:hanging="231" w:hangingChars="100"/>
        <w:rPr>
          <w:rFonts w:hint="default"/>
        </w:rPr>
      </w:pPr>
      <w:r>
        <w:rPr>
          <w:rFonts w:hint="eastAsia"/>
        </w:rPr>
        <w:t>第６条　貸付人は、貸付物件につき貸付期間内に経済事情の激変又は予期することのできない特別な理由の発生により、貸付料が著しく不適当であると認められたときは、事情を調査し、貸付人と借受人が協議の上、貸付料を変更することができる。</w:t>
      </w:r>
    </w:p>
    <w:p>
      <w:pPr>
        <w:pStyle w:val="0"/>
        <w:ind w:left="231" w:hanging="231" w:hangingChars="100"/>
        <w:rPr>
          <w:rFonts w:hint="default"/>
        </w:rPr>
      </w:pPr>
      <w:r>
        <w:rPr>
          <w:rFonts w:hint="eastAsia"/>
        </w:rPr>
        <w:t>２　消費税法及び地方税法の改正等による税率改正のための消費税相当額が変更となる場合にあっては、法改正後の税率が適用される日以降に係る期間に応当する貸付料は、法改正後の税率に基づき計算した額に改定する。</w:t>
      </w:r>
    </w:p>
    <w:p>
      <w:pPr>
        <w:pStyle w:val="0"/>
        <w:rPr>
          <w:rFonts w:hint="default"/>
        </w:rPr>
      </w:pPr>
    </w:p>
    <w:p>
      <w:pPr>
        <w:pStyle w:val="0"/>
        <w:rPr>
          <w:rFonts w:hint="default"/>
        </w:rPr>
      </w:pPr>
    </w:p>
    <w:p>
      <w:pPr>
        <w:pStyle w:val="0"/>
        <w:rPr>
          <w:rFonts w:hint="default"/>
        </w:rPr>
      </w:pPr>
      <w:r>
        <w:rPr>
          <w:rFonts w:hint="eastAsia"/>
        </w:rPr>
        <w:t>（遅延損害金）</w:t>
      </w:r>
    </w:p>
    <w:p>
      <w:pPr>
        <w:pStyle w:val="0"/>
        <w:ind w:left="231" w:hanging="231" w:hangingChars="100"/>
        <w:rPr>
          <w:rFonts w:hint="default"/>
        </w:rPr>
      </w:pPr>
      <w:r>
        <w:rPr>
          <w:rFonts w:hint="eastAsia"/>
        </w:rPr>
        <w:t>第７条　借受人は、貸付料の支払その他の債務をそれぞれの期日までに履行しないときは、日向市分担金等の督促手数料及び延滞金徴収条例（昭和４２年日向市条例第２８号</w:t>
      </w:r>
      <w:r>
        <w:rPr>
          <w:rFonts w:hint="eastAsia"/>
        </w:rPr>
        <w:t>)</w:t>
      </w:r>
      <w:r>
        <w:rPr>
          <w:rFonts w:hint="eastAsia"/>
        </w:rPr>
        <w:t>の規定による延滞金の額の計算によって算出した額を遅延損害金として貸付人に支払わなければならない。ただし、その額が１００円未満の場合には、この限りでない。</w:t>
      </w:r>
    </w:p>
    <w:p>
      <w:pPr>
        <w:pStyle w:val="0"/>
        <w:rPr>
          <w:rFonts w:hint="default"/>
        </w:rPr>
      </w:pPr>
      <w:r>
        <w:rPr>
          <w:rFonts w:hint="eastAsia"/>
        </w:rPr>
        <w:t>（充当）</w:t>
      </w:r>
    </w:p>
    <w:p>
      <w:pPr>
        <w:pStyle w:val="0"/>
        <w:ind w:left="231" w:hanging="231" w:hangingChars="100"/>
        <w:rPr>
          <w:rFonts w:hint="default"/>
        </w:rPr>
      </w:pPr>
      <w:r>
        <w:rPr>
          <w:rFonts w:hint="eastAsia"/>
        </w:rPr>
        <w:t>第８条　貸付人は、借受人が納入した金額をその名目いかんにかかわらず、何ら勧告なしに債務不履行の延滞金、貸付料の順で当該債務不履行の弁済に充当する。</w:t>
      </w:r>
    </w:p>
    <w:p>
      <w:pPr>
        <w:pStyle w:val="0"/>
        <w:ind w:left="231" w:hanging="231" w:hangingChars="100"/>
        <w:rPr>
          <w:rFonts w:hint="default"/>
        </w:rPr>
      </w:pPr>
      <w:r>
        <w:rPr>
          <w:rFonts w:hint="eastAsia"/>
        </w:rPr>
        <w:t>２　貸付人は、前項の規定により借受人が納入した金額を債務不履行の弁済に充当したときは、弁済充当日、弁済充当額等について借受人に書面により通知するものとし、借受人は、その通知を受けた日から３０日以内に、貸付人の発行する納付書により、当該充当される前の名目とした債務不履行額を追加納入しなければならない。</w:t>
      </w:r>
    </w:p>
    <w:p>
      <w:pPr>
        <w:pStyle w:val="0"/>
        <w:ind w:left="231" w:hanging="231" w:hangingChars="100"/>
        <w:rPr>
          <w:rFonts w:hint="default"/>
        </w:rPr>
      </w:pPr>
      <w:r>
        <w:rPr>
          <w:rFonts w:hint="eastAsia"/>
        </w:rPr>
        <w:t>３　借受人は、納入した貸付料に前項の不足額が生じるときは、同項の納入期限日にかかわらず、当該不足額を前条のその納入しない貸付料の額とみなし、同条の規定を適用して計算する遅延損害金を貸付人に納入しなければならない。</w:t>
      </w:r>
    </w:p>
    <w:p>
      <w:pPr>
        <w:pStyle w:val="0"/>
        <w:rPr>
          <w:rFonts w:hint="default"/>
        </w:rPr>
      </w:pPr>
      <w:r>
        <w:rPr>
          <w:rFonts w:hint="eastAsia"/>
        </w:rPr>
        <w:t>（維持管理）</w:t>
      </w:r>
    </w:p>
    <w:p>
      <w:pPr>
        <w:pStyle w:val="0"/>
        <w:ind w:left="231" w:hanging="231" w:hangingChars="100"/>
        <w:rPr>
          <w:rFonts w:hint="default"/>
        </w:rPr>
      </w:pPr>
      <w:r>
        <w:rPr>
          <w:rFonts w:hint="eastAsia"/>
        </w:rPr>
        <w:t>第９条　借受人は、自動販売機設置運営事業に必要な設置費、維持管理費その他費用を自ら負担し、次の各号に定める事項を厳守して貸付物件を使用しなければならない。</w:t>
      </w:r>
    </w:p>
    <w:p>
      <w:pPr>
        <w:pStyle w:val="0"/>
        <w:rPr>
          <w:rFonts w:hint="default"/>
        </w:rPr>
      </w:pPr>
      <w:r>
        <w:rPr>
          <w:rFonts w:hint="eastAsia"/>
        </w:rPr>
        <w:t>（１）自動販売機の設置</w:t>
      </w:r>
    </w:p>
    <w:p>
      <w:pPr>
        <w:pStyle w:val="0"/>
        <w:ind w:left="693" w:leftChars="200" w:hanging="231" w:hangingChars="100"/>
        <w:rPr>
          <w:rFonts w:hint="default"/>
        </w:rPr>
      </w:pPr>
      <w:r>
        <w:rPr>
          <w:rFonts w:hint="eastAsia"/>
        </w:rPr>
        <w:t>ア　自販機の設置に当たっては、障がい者、高齢者等に配慮したユニバーサルデザイン対応型の機種、また、省エネルギー、ノンフロン対応等の環境負荷を低減した機種の設置に努めるものとする。</w:t>
      </w:r>
    </w:p>
    <w:p>
      <w:pPr>
        <w:pStyle w:val="0"/>
        <w:ind w:left="693" w:leftChars="200" w:hanging="231" w:hangingChars="100"/>
        <w:rPr>
          <w:rFonts w:hint="default"/>
        </w:rPr>
      </w:pPr>
      <w:r>
        <w:rPr>
          <w:rFonts w:hint="eastAsia"/>
        </w:rPr>
        <w:t>イ　仕様書で機能・配色等の個別条件が付されている場合は、当該条件に従った自動販売機を設置すること。ただし、貸付期間の始期から６か月を超えない範囲の期間は、当該条件に従わない自動販売機を設置できるものとする。なお、借受人がこの契約に基づき、市の施設において、新たに災害対応型自販機を設置した場合は、速やかに貸付人と別に定める災害時における救援物資提供に関する協定を締結するものとする。</w:t>
      </w:r>
    </w:p>
    <w:p>
      <w:pPr>
        <w:pStyle w:val="0"/>
        <w:ind w:left="693" w:leftChars="200" w:hanging="231" w:hangingChars="100"/>
        <w:rPr>
          <w:rFonts w:hint="default"/>
        </w:rPr>
      </w:pPr>
      <w:r>
        <w:rPr>
          <w:rFonts w:hint="eastAsia"/>
        </w:rPr>
        <w:t>ウ　自動販売機は、設置しようとする施設の躯体に負担のかからない方法で転倒防止及び耐震対策を講じること。</w:t>
      </w:r>
    </w:p>
    <w:p>
      <w:pPr>
        <w:pStyle w:val="0"/>
        <w:ind w:left="693" w:leftChars="200" w:hanging="231" w:hangingChars="100"/>
        <w:rPr>
          <w:rFonts w:hint="default"/>
        </w:rPr>
      </w:pPr>
      <w:r>
        <w:rPr>
          <w:rFonts w:hint="eastAsia"/>
        </w:rPr>
        <w:t>エ　電気工事等を必要とするときは、施設管理者の指示に従って行い、工事完了後は、その完了した旨を施設管理者に報告すること。</w:t>
      </w:r>
    </w:p>
    <w:p>
      <w:pPr>
        <w:pStyle w:val="0"/>
        <w:ind w:left="693" w:leftChars="200" w:hanging="231" w:hangingChars="100"/>
        <w:rPr>
          <w:rFonts w:hint="default"/>
        </w:rPr>
      </w:pPr>
      <w:r>
        <w:rPr>
          <w:rFonts w:hint="eastAsia"/>
        </w:rPr>
        <w:t>オ　自動販売機設置後は、その設置について施設管理者の確認を行い、施設管理上支障があると認められる場合は、指示に従い速やかに是正すること。</w:t>
      </w:r>
    </w:p>
    <w:p>
      <w:pPr>
        <w:pStyle w:val="0"/>
        <w:ind w:left="693" w:leftChars="200" w:hanging="231" w:hangingChars="100"/>
        <w:rPr>
          <w:rFonts w:hint="default"/>
        </w:rPr>
      </w:pPr>
      <w:r>
        <w:rPr>
          <w:rFonts w:hint="eastAsia"/>
        </w:rPr>
        <w:t>カ　自動販売機の転倒等によって第三者に損害を与えた場合は、借受人の責任において適切な対応、処理を行うこと。</w:t>
      </w:r>
    </w:p>
    <w:p>
      <w:pPr>
        <w:pStyle w:val="0"/>
        <w:ind w:firstLine="462" w:firstLineChars="200"/>
        <w:rPr>
          <w:rFonts w:hint="default"/>
        </w:rPr>
      </w:pPr>
      <w:r>
        <w:rPr>
          <w:rFonts w:hint="eastAsia"/>
        </w:rPr>
        <w:t>キ　自動販売機の前面に問合せ連絡先を明記すること。</w:t>
      </w:r>
    </w:p>
    <w:p>
      <w:pPr>
        <w:pStyle w:val="0"/>
        <w:rPr>
          <w:rFonts w:hint="default"/>
        </w:rPr>
      </w:pPr>
      <w:r>
        <w:rPr>
          <w:rFonts w:hint="eastAsia"/>
        </w:rPr>
        <w:t>（２）回収ボックスの設置</w:t>
      </w:r>
    </w:p>
    <w:p>
      <w:pPr>
        <w:pStyle w:val="0"/>
        <w:ind w:left="693" w:leftChars="200" w:hanging="231" w:hangingChars="100"/>
        <w:rPr>
          <w:rFonts w:hint="default"/>
        </w:rPr>
      </w:pPr>
      <w:r>
        <w:rPr>
          <w:rFonts w:hint="eastAsia"/>
        </w:rPr>
        <w:t>ア　貸付期間の開始後、施設管理者の指示に従い、速やかに指定の位置に飲料容器等の回収ボックス（以下「回収ボックス」という。）を設置し、設置後はその完了した旨を施設管理者に報告すること。</w:t>
      </w:r>
    </w:p>
    <w:p>
      <w:pPr>
        <w:pStyle w:val="0"/>
        <w:ind w:left="693" w:leftChars="200" w:hanging="231" w:hangingChars="100"/>
        <w:rPr>
          <w:rFonts w:hint="default"/>
        </w:rPr>
      </w:pPr>
      <w:r>
        <w:rPr>
          <w:rFonts w:hint="eastAsia"/>
        </w:rPr>
        <w:t>イ　回収ボックスは、借受人の責任で、衛生的に良好な状態で管理をするとともに、回収した飲料容器等は関係法令等を遵守し、適正に処理すること。</w:t>
      </w:r>
    </w:p>
    <w:p>
      <w:pPr>
        <w:pStyle w:val="0"/>
        <w:rPr>
          <w:rFonts w:hint="default"/>
        </w:rPr>
      </w:pPr>
      <w:r>
        <w:rPr>
          <w:rFonts w:hint="eastAsia"/>
        </w:rPr>
        <w:t>（３）販売品</w:t>
      </w:r>
    </w:p>
    <w:p>
      <w:pPr>
        <w:pStyle w:val="0"/>
        <w:ind w:left="693" w:leftChars="200" w:hanging="231" w:hangingChars="100"/>
        <w:rPr>
          <w:rFonts w:hint="default"/>
        </w:rPr>
      </w:pPr>
      <w:r>
        <w:rPr>
          <w:rFonts w:hint="eastAsia"/>
        </w:rPr>
        <w:t>ア　販売品は飲料（清涼飲料水類。酒税法（昭和２８年法律第６号）第２条による酒類及びその類似品及びその類似品を除く。）のみとする。</w:t>
      </w:r>
    </w:p>
    <w:p>
      <w:pPr>
        <w:pStyle w:val="0"/>
        <w:ind w:left="693" w:leftChars="200" w:hanging="231" w:hangingChars="100"/>
        <w:rPr>
          <w:rFonts w:hint="default"/>
        </w:rPr>
      </w:pPr>
      <w:r>
        <w:rPr>
          <w:rFonts w:hint="eastAsia"/>
        </w:rPr>
        <w:t>イ　仕様書で販売品に個別条件が付されている場合は、貸付人と借受人が協議の上、当該条件を履行すること。</w:t>
      </w:r>
    </w:p>
    <w:p>
      <w:pPr>
        <w:pStyle w:val="0"/>
        <w:ind w:left="693" w:leftChars="200" w:hanging="231" w:hangingChars="100"/>
        <w:rPr>
          <w:rFonts w:hint="default"/>
        </w:rPr>
      </w:pPr>
      <w:r>
        <w:rPr>
          <w:rFonts w:hint="eastAsia"/>
        </w:rPr>
        <w:t>ウ　販売品の価格は、標準小売価格を上回らない価格とすること。</w:t>
      </w:r>
    </w:p>
    <w:p>
      <w:pPr>
        <w:pStyle w:val="0"/>
        <w:ind w:firstLine="462" w:firstLineChars="200"/>
        <w:rPr>
          <w:rFonts w:hint="default"/>
        </w:rPr>
      </w:pPr>
      <w:r>
        <w:rPr>
          <w:rFonts w:hint="eastAsia"/>
        </w:rPr>
        <w:t>エ　販売品の賞味期限に注意し、適切に衛生管理を行うこと。</w:t>
      </w:r>
    </w:p>
    <w:p>
      <w:pPr>
        <w:pStyle w:val="0"/>
        <w:rPr>
          <w:rFonts w:hint="default"/>
        </w:rPr>
      </w:pPr>
      <w:r>
        <w:rPr>
          <w:rFonts w:hint="eastAsia"/>
        </w:rPr>
        <w:t>（４）その他</w:t>
      </w:r>
    </w:p>
    <w:p>
      <w:pPr>
        <w:pStyle w:val="0"/>
        <w:ind w:left="693" w:leftChars="200" w:hanging="231" w:hangingChars="100"/>
        <w:rPr>
          <w:rFonts w:hint="default"/>
        </w:rPr>
      </w:pPr>
      <w:r>
        <w:rPr>
          <w:rFonts w:hint="eastAsia"/>
        </w:rPr>
        <w:t>ア　自動販売機、販売品及び回収ボックス等の衛生管理及び感染症対策については、関係法令等を遵守するとともに、関係機関等への届出及び検査等が必要な場合は、速やかに手続等を行うこと。</w:t>
      </w:r>
    </w:p>
    <w:p>
      <w:pPr>
        <w:pStyle w:val="0"/>
        <w:ind w:left="693" w:leftChars="200" w:hanging="231" w:hangingChars="100"/>
        <w:rPr>
          <w:rFonts w:hint="default"/>
        </w:rPr>
      </w:pPr>
      <w:r>
        <w:rPr>
          <w:rFonts w:hint="eastAsia"/>
        </w:rPr>
        <w:t>イ　自動販売機の搬入及び搬出、販売品の補充、飲料容器等の回収及び金銭管理等の方法及び時間等については、施設管理者の指示に従い行うこと。</w:t>
      </w:r>
    </w:p>
    <w:p>
      <w:pPr>
        <w:pStyle w:val="0"/>
        <w:ind w:firstLine="462" w:firstLineChars="200"/>
        <w:rPr>
          <w:rFonts w:hint="default"/>
        </w:rPr>
      </w:pPr>
      <w:r>
        <w:rPr>
          <w:rFonts w:hint="eastAsia"/>
        </w:rPr>
        <w:t>ウ　自動販売機及び回収ボックスが、使用可能な状態で常時設置されていること。</w:t>
      </w:r>
    </w:p>
    <w:p>
      <w:pPr>
        <w:pStyle w:val="0"/>
        <w:rPr>
          <w:rFonts w:hint="default"/>
        </w:rPr>
      </w:pPr>
      <w:r>
        <w:rPr>
          <w:rFonts w:hint="eastAsia"/>
        </w:rPr>
        <w:t>（光熱水費の実費徴収）</w:t>
      </w:r>
    </w:p>
    <w:p>
      <w:pPr>
        <w:pStyle w:val="0"/>
        <w:ind w:left="231" w:hanging="231" w:hangingChars="100"/>
        <w:rPr>
          <w:rFonts w:hint="default"/>
        </w:rPr>
      </w:pPr>
      <w:r>
        <w:rPr>
          <w:rFonts w:hint="eastAsia"/>
        </w:rPr>
        <w:t>第１０条　自動販売機に係る電気料、水道料等の光熱水費については借受人の負担とし、当該電気、水道等に関して貸付人の設備を使用する場合は、原則として、借受人の責任において、使用量を計測するための子メーターを設置するものとし、貸付人が月単位で算定した実費相当額を、貸付人が発行する納入通知書により、納入通知書に記載された納入期限までに納入しなければならない。ただし、これらの期限が市の休日であるときは、本市の休日の翌日をもってその期限とする。</w:t>
      </w:r>
    </w:p>
    <w:p>
      <w:pPr>
        <w:pStyle w:val="0"/>
        <w:rPr>
          <w:rFonts w:hint="default"/>
        </w:rPr>
      </w:pPr>
      <w:r>
        <w:rPr>
          <w:rFonts w:hint="eastAsia"/>
        </w:rPr>
        <w:t>２　光熱水費の具体的な算定方法は、別紙のとおりとする。</w:t>
      </w:r>
    </w:p>
    <w:p>
      <w:pPr>
        <w:pStyle w:val="0"/>
        <w:rPr>
          <w:rFonts w:hint="default"/>
        </w:rPr>
      </w:pPr>
      <w:r>
        <w:rPr>
          <w:rFonts w:hint="eastAsia"/>
        </w:rPr>
        <w:t>（貸付物件の引渡し）</w:t>
      </w:r>
    </w:p>
    <w:p>
      <w:pPr>
        <w:pStyle w:val="0"/>
        <w:rPr>
          <w:rFonts w:hint="default"/>
        </w:rPr>
      </w:pPr>
      <w:r>
        <w:rPr>
          <w:rFonts w:hint="eastAsia"/>
        </w:rPr>
        <w:t>第１１条　貸付人は、貸付期間の初日に、現況有姿の状態で借受人に引き渡す。</w:t>
      </w:r>
    </w:p>
    <w:p>
      <w:pPr>
        <w:pStyle w:val="0"/>
        <w:rPr>
          <w:rFonts w:hint="default"/>
        </w:rPr>
      </w:pPr>
      <w:r>
        <w:rPr>
          <w:rFonts w:hint="eastAsia"/>
        </w:rPr>
        <w:t>２　前項の貸付物件の引渡しは、貸付人の立会いの上で行うものとする。</w:t>
      </w:r>
    </w:p>
    <w:p>
      <w:pPr>
        <w:pStyle w:val="0"/>
        <w:rPr>
          <w:rFonts w:hint="default"/>
        </w:rPr>
      </w:pPr>
      <w:r>
        <w:rPr>
          <w:rFonts w:hint="eastAsia"/>
        </w:rPr>
        <w:t>（契約不適合責任）</w:t>
      </w:r>
    </w:p>
    <w:p>
      <w:pPr>
        <w:pStyle w:val="0"/>
        <w:ind w:left="231" w:hanging="231" w:hangingChars="100"/>
        <w:rPr>
          <w:rFonts w:hint="default"/>
        </w:rPr>
      </w:pPr>
      <w:r>
        <w:rPr>
          <w:rFonts w:hint="eastAsia"/>
        </w:rPr>
        <w:t>第１２条　借受人は、引き渡された貸付物件が種類、品質又は面積に関して契約の内容に適合しないものがあった場合でも、貸付料の減免及び損害賠償等の請求をすることができない。</w:t>
      </w:r>
    </w:p>
    <w:p>
      <w:pPr>
        <w:pStyle w:val="0"/>
        <w:rPr>
          <w:rFonts w:hint="default"/>
        </w:rPr>
      </w:pPr>
      <w:r>
        <w:rPr>
          <w:rFonts w:hint="eastAsia"/>
        </w:rPr>
        <w:t>（修繕義務）</w:t>
      </w:r>
    </w:p>
    <w:p>
      <w:pPr>
        <w:pStyle w:val="0"/>
        <w:ind w:left="231" w:hanging="231" w:hangingChars="100"/>
        <w:rPr>
          <w:rFonts w:hint="default"/>
        </w:rPr>
      </w:pPr>
      <w:r>
        <w:rPr>
          <w:rFonts w:hint="eastAsia"/>
        </w:rPr>
        <w:t>第１３条　貸付人の責めによることが明らかな場合を除き、貸付物件の修繕を要するときは、維持補修その他の行為をするために支出する経費は、全て借受人の負担とする。</w:t>
      </w:r>
    </w:p>
    <w:p>
      <w:pPr>
        <w:pStyle w:val="0"/>
        <w:rPr>
          <w:rFonts w:hint="default"/>
        </w:rPr>
      </w:pPr>
      <w:r>
        <w:rPr>
          <w:rFonts w:hint="eastAsia"/>
        </w:rPr>
        <w:t>（滅失又はき損の通知）</w:t>
      </w:r>
    </w:p>
    <w:p>
      <w:pPr>
        <w:pStyle w:val="0"/>
        <w:ind w:left="231" w:hanging="231" w:hangingChars="100"/>
        <w:rPr>
          <w:rFonts w:hint="default"/>
        </w:rPr>
      </w:pPr>
      <w:r>
        <w:rPr>
          <w:rFonts w:hint="eastAsia"/>
        </w:rPr>
        <w:t>第１４条　借受人は、貸付物件の全部又は一部が滅失又はき損した場合には、直ちに貸付人にその状況を通知しなければならない。</w:t>
      </w:r>
    </w:p>
    <w:p>
      <w:pPr>
        <w:pStyle w:val="0"/>
        <w:rPr>
          <w:rFonts w:hint="default"/>
        </w:rPr>
      </w:pPr>
      <w:r>
        <w:rPr>
          <w:rFonts w:hint="eastAsia"/>
        </w:rPr>
        <w:t>（滅失又はき損の原状回復）</w:t>
      </w:r>
    </w:p>
    <w:p>
      <w:pPr>
        <w:pStyle w:val="0"/>
        <w:ind w:left="231" w:hanging="231" w:hangingChars="100"/>
        <w:rPr>
          <w:rFonts w:hint="default"/>
        </w:rPr>
      </w:pPr>
      <w:r>
        <w:rPr>
          <w:rFonts w:hint="eastAsia"/>
        </w:rPr>
        <w:t>第１５条　借受人は、その責めに帰する事由により、貸付物件を滅失し、又はき損したときは、借受人の負担において原状に回復しなければならない。</w:t>
      </w:r>
    </w:p>
    <w:p>
      <w:pPr>
        <w:pStyle w:val="0"/>
        <w:rPr>
          <w:rFonts w:hint="default"/>
        </w:rPr>
      </w:pPr>
      <w:r>
        <w:rPr>
          <w:rFonts w:hint="eastAsia"/>
        </w:rPr>
        <w:t>（維持保全義務等）</w:t>
      </w:r>
    </w:p>
    <w:p>
      <w:pPr>
        <w:pStyle w:val="0"/>
        <w:ind w:left="231" w:hanging="231" w:hangingChars="100"/>
        <w:rPr>
          <w:rFonts w:hint="default"/>
        </w:rPr>
      </w:pPr>
      <w:r>
        <w:rPr>
          <w:rFonts w:hint="eastAsia"/>
        </w:rPr>
        <w:t>第１６条　借受人は、善良なる管理者としての注意をもって貸付物件の維持保全（貸付人と借受人が協議して定める事項を除く。）に努めなければならない。</w:t>
      </w:r>
    </w:p>
    <w:p>
      <w:pPr>
        <w:pStyle w:val="0"/>
        <w:ind w:left="231" w:hanging="231" w:hangingChars="100"/>
        <w:rPr>
          <w:rFonts w:hint="default"/>
        </w:rPr>
      </w:pPr>
      <w:r>
        <w:rPr>
          <w:rFonts w:hint="eastAsia"/>
        </w:rPr>
        <w:t>２　借受人は、前項の注意を怠る等、その責めに帰すべき事由によって第三者に損害を与えた場合には、その賠償の責めを負うものとし、貸付人が借受人に代わってその賠償の責めを果たした場合には、貸付人は借受人に求償することができる。</w:t>
      </w:r>
    </w:p>
    <w:p>
      <w:pPr>
        <w:pStyle w:val="0"/>
        <w:ind w:left="231" w:hanging="231" w:hangingChars="100"/>
        <w:rPr>
          <w:rFonts w:hint="default"/>
        </w:rPr>
      </w:pPr>
      <w:r>
        <w:rPr>
          <w:rFonts w:hint="eastAsia"/>
        </w:rPr>
        <w:t>３　貸付人は、貸付人の責めによることが明らかな場合を除き、当該自動販売機に係る盗難事故や破損事故等に関しては、その一切の責任を負わないこととする。また、借受人は自動販売機がき損、汚損又は紛失したときは、速やかに復旧することとし、復旧に係る経費は借受人が負担すること。</w:t>
      </w:r>
    </w:p>
    <w:p>
      <w:pPr>
        <w:pStyle w:val="0"/>
        <w:rPr>
          <w:rFonts w:hint="default"/>
        </w:rPr>
      </w:pPr>
      <w:r>
        <w:rPr>
          <w:rFonts w:hint="eastAsia"/>
        </w:rPr>
        <w:t>（調査等）</w:t>
      </w:r>
    </w:p>
    <w:p>
      <w:pPr>
        <w:pStyle w:val="0"/>
        <w:ind w:left="231" w:hanging="231" w:hangingChars="100"/>
        <w:rPr>
          <w:rFonts w:hint="default"/>
        </w:rPr>
      </w:pPr>
      <w:r>
        <w:rPr>
          <w:rFonts w:hint="eastAsia"/>
        </w:rPr>
        <w:t>第１７条　借受人は、この契約に基づき設置した自動販売機の月別の販売数量及び販売額等を当該年度の翌年度６月末までに、当該年度分をまとめて貸付人に書面にて報告しなければならない。</w:t>
      </w:r>
    </w:p>
    <w:p>
      <w:pPr>
        <w:pStyle w:val="0"/>
        <w:ind w:left="231" w:hanging="231" w:hangingChars="100"/>
        <w:rPr>
          <w:rFonts w:hint="default"/>
        </w:rPr>
      </w:pPr>
      <w:r>
        <w:rPr>
          <w:rFonts w:hint="eastAsia"/>
        </w:rPr>
        <w:t>２　貸付人は、次の各号に該当する事由が生じたときは、実地に調査し、その参考となるべき資料の提出又はその他の報告を求めることができる。</w:t>
      </w:r>
    </w:p>
    <w:p>
      <w:pPr>
        <w:pStyle w:val="0"/>
        <w:rPr>
          <w:rFonts w:hint="default"/>
        </w:rPr>
      </w:pPr>
      <w:r>
        <w:rPr>
          <w:rFonts w:hint="eastAsia"/>
        </w:rPr>
        <w:t>（１）第４条及び第９条に定める事項に違反したとき。</w:t>
      </w:r>
    </w:p>
    <w:p>
      <w:pPr>
        <w:pStyle w:val="0"/>
        <w:rPr>
          <w:rFonts w:hint="default"/>
        </w:rPr>
      </w:pPr>
      <w:r>
        <w:rPr>
          <w:rFonts w:hint="eastAsia"/>
        </w:rPr>
        <w:t>（２）その他貸付人が必要とするとき。</w:t>
      </w:r>
    </w:p>
    <w:p>
      <w:pPr>
        <w:pStyle w:val="0"/>
        <w:ind w:left="231" w:hanging="231" w:hangingChars="100"/>
        <w:rPr>
          <w:rFonts w:hint="default"/>
        </w:rPr>
      </w:pPr>
      <w:r>
        <w:rPr>
          <w:rFonts w:hint="eastAsia"/>
        </w:rPr>
        <w:t>３　借受人は、貸付人から前項の規定による請求があったときは、正当な理由なくその請求を拒み、妨げ又は忌避してはならない。</w:t>
      </w:r>
    </w:p>
    <w:p>
      <w:pPr>
        <w:pStyle w:val="0"/>
        <w:rPr>
          <w:rFonts w:hint="default"/>
        </w:rPr>
      </w:pPr>
      <w:r>
        <w:rPr>
          <w:rFonts w:hint="eastAsia"/>
        </w:rPr>
        <w:t>（契約の解除）</w:t>
      </w:r>
    </w:p>
    <w:p>
      <w:pPr>
        <w:pStyle w:val="0"/>
        <w:ind w:left="231" w:hanging="231" w:hangingChars="100"/>
        <w:rPr>
          <w:rFonts w:hint="default"/>
        </w:rPr>
      </w:pPr>
      <w:r>
        <w:rPr>
          <w:rFonts w:hint="eastAsia"/>
        </w:rPr>
        <w:t>第１８条　貸付人は、次の各号のいずれかに該当する場合は、この契約を解除することができる。</w:t>
      </w:r>
    </w:p>
    <w:p>
      <w:pPr>
        <w:pStyle w:val="0"/>
        <w:ind w:left="462" w:hanging="462" w:hangingChars="200"/>
        <w:rPr>
          <w:rFonts w:hint="default"/>
        </w:rPr>
      </w:pPr>
      <w:r>
        <w:rPr>
          <w:rFonts w:hint="eastAsia"/>
        </w:rPr>
        <w:t>（１）貸付人において、公用又は公共用に供するため貸付物件を必要とするとき及び施設を廃止するとき。</w:t>
      </w:r>
    </w:p>
    <w:p>
      <w:pPr>
        <w:pStyle w:val="0"/>
        <w:ind w:left="462" w:hanging="462" w:hangingChars="200"/>
        <w:rPr>
          <w:rFonts w:hint="default"/>
        </w:rPr>
      </w:pPr>
      <w:r>
        <w:rPr>
          <w:rFonts w:hint="eastAsia"/>
        </w:rPr>
        <w:t>（２）借受人が、この契約に定める義務を履行しないとき。</w:t>
      </w:r>
    </w:p>
    <w:p>
      <w:pPr>
        <w:pStyle w:val="0"/>
        <w:rPr>
          <w:rFonts w:hint="default"/>
        </w:rPr>
      </w:pPr>
      <w:r>
        <w:rPr>
          <w:rFonts w:hint="eastAsia"/>
        </w:rPr>
        <w:t>（３）借受人が、第４条に規定する禁止事項に違反したとき。</w:t>
      </w:r>
    </w:p>
    <w:p>
      <w:pPr>
        <w:pStyle w:val="0"/>
        <w:rPr>
          <w:rFonts w:hint="default"/>
        </w:rPr>
      </w:pPr>
      <w:r>
        <w:rPr>
          <w:rFonts w:hint="eastAsia"/>
        </w:rPr>
        <w:t>（４）借受人が、納付期限後３か月以上貸付料の支払を怠ったとき。</w:t>
      </w:r>
    </w:p>
    <w:p>
      <w:pPr>
        <w:pStyle w:val="0"/>
        <w:ind w:left="462" w:hanging="462" w:hangingChars="200"/>
        <w:rPr>
          <w:rFonts w:hint="default"/>
        </w:rPr>
      </w:pPr>
      <w:r>
        <w:rPr>
          <w:rFonts w:hint="eastAsia"/>
        </w:rPr>
        <w:t>（５）借受人が、貸付人の書面による承諾なく、２か月以上貸付場所を専用用途として使用しないとき。</w:t>
      </w:r>
    </w:p>
    <w:p>
      <w:pPr>
        <w:pStyle w:val="0"/>
        <w:rPr>
          <w:rFonts w:hint="default"/>
        </w:rPr>
      </w:pPr>
      <w:r>
        <w:rPr>
          <w:rFonts w:hint="eastAsia"/>
        </w:rPr>
        <w:t>（６）借受人の事業内容、資力、信用状態等の重要な事項に関して、虚偽があったとき。</w:t>
      </w:r>
    </w:p>
    <w:p>
      <w:pPr>
        <w:pStyle w:val="0"/>
        <w:ind w:left="462" w:hanging="462" w:hangingChars="200"/>
        <w:rPr>
          <w:rFonts w:hint="default"/>
        </w:rPr>
      </w:pPr>
      <w:r>
        <w:rPr>
          <w:rFonts w:hint="eastAsia"/>
        </w:rPr>
        <w:t>（７）借受人が発行する手形又は小切手が不渡りとなったとき、又は銀行取引停止処分を受けたとき。</w:t>
      </w:r>
    </w:p>
    <w:p>
      <w:pPr>
        <w:pStyle w:val="0"/>
        <w:ind w:left="462" w:hanging="462" w:hangingChars="200"/>
        <w:rPr>
          <w:rFonts w:hint="default"/>
        </w:rPr>
      </w:pPr>
      <w:r>
        <w:rPr>
          <w:rFonts w:hint="eastAsia"/>
        </w:rPr>
        <w:t>（８）借受人が、差押、仮差押、仮処分、競売、保全処分、滞納処分等の強制執行の申立てを受けたとき。</w:t>
      </w:r>
    </w:p>
    <w:p>
      <w:pPr>
        <w:pStyle w:val="0"/>
        <w:ind w:left="462" w:hanging="462" w:hangingChars="200"/>
        <w:rPr>
          <w:rFonts w:hint="default"/>
        </w:rPr>
      </w:pPr>
      <w:r>
        <w:rPr>
          <w:rFonts w:hint="eastAsia"/>
        </w:rPr>
        <w:t>（９）借受人が、破産、会社更生、民事再生、清算又は特別清算その他倒産法制上の手続について、借受人の取締役会でその申立てを決議したとき、又は第三者</w:t>
      </w:r>
      <w:r>
        <w:rPr>
          <w:rFonts w:hint="eastAsia"/>
        </w:rPr>
        <w:t>(</w:t>
      </w:r>
      <w:r>
        <w:rPr>
          <w:rFonts w:hint="eastAsia"/>
        </w:rPr>
        <w:t>借受人の取締役を含む。</w:t>
      </w:r>
      <w:r>
        <w:rPr>
          <w:rFonts w:hint="eastAsia"/>
        </w:rPr>
        <w:t>)</w:t>
      </w:r>
      <w:r>
        <w:rPr>
          <w:rFonts w:hint="eastAsia"/>
        </w:rPr>
        <w:t>によって、その申立てがなされたとき。</w:t>
      </w:r>
    </w:p>
    <w:p>
      <w:pPr>
        <w:pStyle w:val="0"/>
        <w:ind w:left="462" w:hanging="462" w:hangingChars="200"/>
        <w:rPr>
          <w:rFonts w:hint="default"/>
        </w:rPr>
      </w:pPr>
      <w:r>
        <w:rPr>
          <w:rFonts w:hint="eastAsia"/>
        </w:rPr>
        <w:t>（</w:t>
      </w:r>
      <w:r>
        <w:rPr>
          <w:rFonts w:hint="eastAsia" w:asciiTheme="minorEastAsia" w:hAnsiTheme="minorEastAsia"/>
        </w:rPr>
        <w:t>10</w:t>
      </w:r>
      <w:r>
        <w:rPr>
          <w:rFonts w:hint="eastAsia"/>
        </w:rPr>
        <w:t>）借受人が、主務官庁から営業禁止又は営業停止処分を受け、自ら廃止、解散等の決議をし、又は事実上営業を停止したとき。</w:t>
      </w:r>
    </w:p>
    <w:p>
      <w:pPr>
        <w:pStyle w:val="0"/>
        <w:ind w:left="462" w:hanging="462" w:hangingChars="200"/>
        <w:rPr>
          <w:rFonts w:hint="default"/>
        </w:rPr>
      </w:pPr>
      <w:r>
        <w:rPr>
          <w:rFonts w:hint="eastAsia"/>
        </w:rPr>
        <w:t>（</w:t>
      </w:r>
      <w:r>
        <w:rPr>
          <w:rFonts w:hint="eastAsia" w:asciiTheme="minorEastAsia" w:hAnsiTheme="minorEastAsia"/>
        </w:rPr>
        <w:t>11</w:t>
      </w:r>
      <w:r>
        <w:rPr>
          <w:rFonts w:hint="eastAsia"/>
        </w:rPr>
        <w:t>）借受人において、資産、信用、組織、営業目的その他事業に重大な変動を生じ、又は合併を行うこと等により、貸付人がこの契約を継続し難いと認めたとき。</w:t>
      </w:r>
    </w:p>
    <w:p>
      <w:pPr>
        <w:pStyle w:val="0"/>
        <w:ind w:left="462" w:hanging="462" w:hangingChars="200"/>
        <w:rPr>
          <w:rFonts w:hint="default"/>
        </w:rPr>
      </w:pPr>
      <w:r>
        <w:rPr>
          <w:rFonts w:hint="eastAsia"/>
        </w:rPr>
        <w:t>（</w:t>
      </w:r>
      <w:r>
        <w:rPr>
          <w:rFonts w:hint="eastAsia" w:asciiTheme="minorEastAsia" w:hAnsiTheme="minorEastAsia"/>
        </w:rPr>
        <w:t>12</w:t>
      </w:r>
      <w:r>
        <w:rPr>
          <w:rFonts w:hint="eastAsia"/>
        </w:rPr>
        <w:t>）貸付物件及び貸付物件が所在する庁舎等の行政財産としての用途又は目的を借受人が妨げると貸付人が認めたとき。</w:t>
      </w:r>
    </w:p>
    <w:p>
      <w:pPr>
        <w:pStyle w:val="0"/>
        <w:ind w:left="462" w:hanging="462" w:hangingChars="200"/>
        <w:rPr>
          <w:rFonts w:hint="default"/>
        </w:rPr>
      </w:pPr>
      <w:r>
        <w:rPr>
          <w:rFonts w:hint="eastAsia"/>
        </w:rPr>
        <w:t>（</w:t>
      </w:r>
      <w:r>
        <w:rPr>
          <w:rFonts w:hint="eastAsia" w:asciiTheme="minorEastAsia" w:hAnsiTheme="minorEastAsia"/>
        </w:rPr>
        <w:t>13</w:t>
      </w:r>
      <w:r>
        <w:rPr>
          <w:rFonts w:hint="eastAsia"/>
        </w:rPr>
        <w:t>）借受人が次のいずれかに該当するとき。</w:t>
      </w:r>
    </w:p>
    <w:p>
      <w:pPr>
        <w:pStyle w:val="0"/>
        <w:ind w:left="693" w:leftChars="200" w:hanging="231" w:hangingChars="100"/>
        <w:rPr>
          <w:rFonts w:hint="default"/>
        </w:rPr>
      </w:pPr>
      <w:r>
        <w:rPr>
          <w:rFonts w:hint="eastAsia"/>
        </w:rPr>
        <w:t>ア　役員等（借受人が個人である場合にはその者を、借受人が法人である場合にはその役員又は支店若しくは常時賃貸借の契約を締結する事務所の代表者をいう。以下この号について同じ。）が暴力団員による不当な行為の防止等に関する法律（平成３年法律第７７号）第２条第６号に規定する暴力団員又は同号に規定する暴力団員ではなくなった日から５年を経過しない者（以下「暴力団員等」という。）であると認められるとき。</w:t>
      </w:r>
    </w:p>
    <w:p>
      <w:pPr>
        <w:pStyle w:val="0"/>
        <w:ind w:left="693" w:leftChars="200" w:hanging="231" w:hangingChars="100"/>
        <w:rPr>
          <w:rFonts w:hint="default"/>
        </w:rPr>
      </w:pPr>
      <w:r>
        <w:rPr>
          <w:rFonts w:hint="eastAsia"/>
        </w:rPr>
        <w:t>イ　暴力団（暴力団員による不当な行為の防止等に関する法律第２条第２項に規定する暴力団をいう。以下同じ。）又は暴力団員等が経営に実質的に関与していると認められるとき。</w:t>
      </w:r>
    </w:p>
    <w:p>
      <w:pPr>
        <w:pStyle w:val="0"/>
        <w:ind w:left="693" w:leftChars="200" w:hanging="231" w:hangingChars="100"/>
        <w:rPr>
          <w:rFonts w:hint="default"/>
        </w:rPr>
      </w:pPr>
      <w:r>
        <w:rPr>
          <w:rFonts w:hint="eastAsia"/>
        </w:rPr>
        <w:t>ウ　役員等が自己又は自社若しくは第三者の不正の利益を図る目的又は第三者に損害を加える目的をもって、暴力団又は暴力団員等を利用するなどしたと認められるとき。</w:t>
      </w:r>
    </w:p>
    <w:p>
      <w:pPr>
        <w:pStyle w:val="0"/>
        <w:ind w:left="693" w:leftChars="200" w:hanging="231" w:hangingChars="100"/>
        <w:rPr>
          <w:rFonts w:hint="default"/>
        </w:rPr>
      </w:pPr>
      <w:r>
        <w:rPr>
          <w:rFonts w:hint="eastAsia"/>
        </w:rPr>
        <w:t>エ　役員等が、暴力団又は暴力団員等に対して資金等を供給し、又は便宜を供与する等、直接的あるいは積極的に暴力団の維持、運営に協力し、若しくは関与していると認められるとき。</w:t>
      </w:r>
    </w:p>
    <w:p>
      <w:pPr>
        <w:pStyle w:val="0"/>
        <w:ind w:left="693" w:leftChars="200" w:hanging="231" w:hangingChars="100"/>
        <w:rPr>
          <w:rFonts w:hint="default"/>
        </w:rPr>
      </w:pPr>
      <w:r>
        <w:rPr>
          <w:rFonts w:hint="eastAsia"/>
        </w:rPr>
        <w:t>オ　役員等が暴力団又は暴力団員等と社会的に非難されるべき関係を有していると認められるとき。</w:t>
      </w:r>
    </w:p>
    <w:p>
      <w:pPr>
        <w:pStyle w:val="0"/>
        <w:ind w:left="517" w:leftChars="24" w:hanging="462" w:hangingChars="200"/>
        <w:rPr>
          <w:rFonts w:hint="default"/>
        </w:rPr>
      </w:pPr>
      <w:r>
        <w:rPr>
          <w:rFonts w:hint="eastAsia"/>
        </w:rPr>
        <w:t>（</w:t>
      </w:r>
      <w:r>
        <w:rPr>
          <w:rFonts w:hint="eastAsia" w:asciiTheme="minorEastAsia" w:hAnsiTheme="minorEastAsia"/>
        </w:rPr>
        <w:t>14</w:t>
      </w:r>
      <w:r>
        <w:rPr>
          <w:rFonts w:hint="eastAsia"/>
        </w:rPr>
        <w:t>）借受人が日向市発注建設工事等からの暴力団排除措置要綱（平成１２年日向市告示第３号）第２条に基づき貸付人との契約関係から排除措置が行われたとき。</w:t>
      </w:r>
    </w:p>
    <w:p>
      <w:pPr>
        <w:pStyle w:val="0"/>
        <w:ind w:left="517" w:leftChars="24" w:hanging="462" w:hangingChars="200"/>
        <w:rPr>
          <w:rFonts w:hint="default"/>
        </w:rPr>
      </w:pPr>
      <w:r>
        <w:rPr>
          <w:rFonts w:hint="eastAsia"/>
        </w:rPr>
        <w:t>（</w:t>
      </w:r>
      <w:r>
        <w:rPr>
          <w:rFonts w:hint="eastAsia" w:asciiTheme="minorEastAsia" w:hAnsiTheme="minorEastAsia"/>
        </w:rPr>
        <w:t>15</w:t>
      </w:r>
      <w:r>
        <w:rPr>
          <w:rFonts w:hint="eastAsia"/>
        </w:rPr>
        <w:t>）借受人が、無差別大量殺人行為を行った団体の規制に関する法律（平成１１年法律第１４７号）に基づく処分の対象となっている団体又はその構成員であるとき。</w:t>
      </w:r>
    </w:p>
    <w:p>
      <w:pPr>
        <w:pStyle w:val="0"/>
        <w:ind w:left="231" w:hanging="231" w:hangingChars="100"/>
        <w:rPr>
          <w:rFonts w:hint="default"/>
        </w:rPr>
      </w:pPr>
      <w:r>
        <w:rPr>
          <w:rFonts w:hint="eastAsia"/>
        </w:rPr>
        <w:t>２　借受人は、貸付人の解除権の行使に伴い発生した損失について、貸付人にその補償を請求することはできない。ただし、前項第１号の場合においては、この限りではない。</w:t>
      </w:r>
    </w:p>
    <w:p>
      <w:pPr>
        <w:pStyle w:val="0"/>
        <w:rPr>
          <w:rFonts w:hint="default"/>
        </w:rPr>
      </w:pPr>
      <w:r>
        <w:rPr>
          <w:rFonts w:hint="eastAsia"/>
        </w:rPr>
        <w:t>（借受人からの解約）</w:t>
      </w:r>
    </w:p>
    <w:p>
      <w:pPr>
        <w:pStyle w:val="0"/>
        <w:ind w:left="231" w:hanging="231" w:hangingChars="100"/>
        <w:rPr>
          <w:rFonts w:hint="default"/>
        </w:rPr>
      </w:pPr>
      <w:r>
        <w:rPr>
          <w:rFonts w:hint="eastAsia"/>
        </w:rPr>
        <w:t>第１９条　借受人は、貸付期間内にこの契約を解除しようとするときは、６か月前までに貸付人に対し、書面により通知することにより、この契約を解約することができる。</w:t>
      </w:r>
    </w:p>
    <w:p>
      <w:pPr>
        <w:pStyle w:val="0"/>
        <w:rPr>
          <w:rFonts w:hint="default"/>
        </w:rPr>
      </w:pPr>
      <w:r>
        <w:rPr>
          <w:rFonts w:hint="eastAsia"/>
        </w:rPr>
        <w:t>（暴力団の排除のための協力）</w:t>
      </w:r>
    </w:p>
    <w:p>
      <w:pPr>
        <w:pStyle w:val="0"/>
        <w:ind w:left="231" w:hanging="231" w:hangingChars="100"/>
        <w:rPr>
          <w:rFonts w:hint="default"/>
        </w:rPr>
      </w:pPr>
      <w:r>
        <w:rPr>
          <w:rFonts w:hint="eastAsia"/>
        </w:rPr>
        <w:t>第２０条　借受人は、暴力団員等から不当介入を受けた場合は、その旨を直ちに貸付人に報告するとともに、所轄の警察署に届けなければならない。</w:t>
      </w:r>
    </w:p>
    <w:p>
      <w:pPr>
        <w:pStyle w:val="0"/>
        <w:ind w:left="231" w:hanging="231" w:hangingChars="100"/>
        <w:rPr>
          <w:rFonts w:hint="default"/>
        </w:rPr>
      </w:pPr>
      <w:r>
        <w:rPr>
          <w:rFonts w:hint="eastAsia"/>
        </w:rPr>
        <w:t>２　借受人は、前項の場合において、貸付人及び所轄の警察署と協力して不当介入の排除対策を講じなければならない。</w:t>
      </w:r>
    </w:p>
    <w:p>
      <w:pPr>
        <w:pStyle w:val="0"/>
        <w:ind w:left="231" w:hanging="231" w:hangingChars="100"/>
        <w:rPr>
          <w:rFonts w:hint="default"/>
        </w:rPr>
      </w:pPr>
      <w:r>
        <w:rPr>
          <w:rFonts w:hint="eastAsia"/>
        </w:rPr>
        <w:t>３　借受人は、前項の規定による排除対策を講じたにもかかわらず、自動販売機設置運営事業の実施に支障が生じるおそれがある場合は、貸付人と協議を行わなければならない。</w:t>
      </w:r>
    </w:p>
    <w:p>
      <w:pPr>
        <w:pStyle w:val="0"/>
        <w:ind w:left="231" w:hanging="231" w:hangingChars="100"/>
        <w:rPr>
          <w:rFonts w:hint="default"/>
        </w:rPr>
      </w:pPr>
      <w:r>
        <w:rPr>
          <w:rFonts w:hint="eastAsia"/>
        </w:rPr>
        <w:t>４　借受人は、暴力団員等から不当介入による被害を受けた場合は、その旨を直ちに貸付人に報告するとともに、速やかに所轄の警察署に被害届を提出しなければならない。</w:t>
      </w:r>
    </w:p>
    <w:p>
      <w:pPr>
        <w:pStyle w:val="0"/>
        <w:ind w:left="231" w:hanging="231" w:hangingChars="100"/>
        <w:rPr>
          <w:rFonts w:hint="default"/>
        </w:rPr>
      </w:pPr>
      <w:r>
        <w:rPr>
          <w:rFonts w:hint="eastAsia"/>
        </w:rPr>
        <w:t>５　借受人は、前項の被害により自動販売機設置運営事業の実施に支障が生じるおそれがある場合は、貸付人と協議を行うものとする。</w:t>
      </w:r>
    </w:p>
    <w:p>
      <w:pPr>
        <w:pStyle w:val="0"/>
        <w:rPr>
          <w:rFonts w:hint="default"/>
        </w:rPr>
      </w:pPr>
      <w:r>
        <w:rPr>
          <w:rFonts w:hint="eastAsia"/>
        </w:rPr>
        <w:t>（違約金）</w:t>
      </w:r>
    </w:p>
    <w:p>
      <w:pPr>
        <w:pStyle w:val="0"/>
        <w:ind w:left="231" w:hanging="231" w:hangingChars="100"/>
        <w:rPr>
          <w:rFonts w:hint="default"/>
        </w:rPr>
      </w:pPr>
      <w:r>
        <w:rPr>
          <w:rFonts w:hint="eastAsia"/>
        </w:rPr>
        <w:t>第２１条　借受人は、この契約期間中に、次の各号のいずれかに該当する事由が生じたときは、それぞれ当該各号に定める金額を違約金として、貸付人に支払わなければならない</w:t>
      </w:r>
    </w:p>
    <w:p>
      <w:pPr>
        <w:pStyle w:val="0"/>
        <w:ind w:left="462" w:hanging="462" w:hangingChars="200"/>
        <w:rPr>
          <w:rFonts w:hint="default"/>
        </w:rPr>
      </w:pPr>
      <w:r>
        <w:rPr>
          <w:rFonts w:hint="eastAsia"/>
        </w:rPr>
        <w:t>（１）第４条第１号、同条第３号又は同条第４号に定める事項に違反したとき</w:t>
      </w:r>
    </w:p>
    <w:p>
      <w:pPr>
        <w:pStyle w:val="0"/>
        <w:ind w:left="462" w:leftChars="200" w:firstLine="231" w:firstLineChars="100"/>
        <w:rPr>
          <w:rFonts w:hint="default"/>
        </w:rPr>
      </w:pPr>
      <w:r>
        <w:rPr>
          <w:rFonts w:hint="eastAsia"/>
        </w:rPr>
        <w:t>違反した年度の貸付料年額の３倍に相当する額</w:t>
      </w:r>
    </w:p>
    <w:p>
      <w:pPr>
        <w:pStyle w:val="0"/>
        <w:rPr>
          <w:rFonts w:hint="default"/>
        </w:rPr>
      </w:pPr>
      <w:r>
        <w:rPr>
          <w:rFonts w:hint="eastAsia"/>
        </w:rPr>
        <w:t>（２）第１７条に定める義務に違反したとき</w:t>
      </w:r>
    </w:p>
    <w:p>
      <w:pPr>
        <w:pStyle w:val="0"/>
        <w:ind w:firstLine="692" w:firstLineChars="300"/>
        <w:rPr>
          <w:rFonts w:hint="default"/>
        </w:rPr>
      </w:pPr>
      <w:r>
        <w:rPr>
          <w:rFonts w:hint="eastAsia"/>
        </w:rPr>
        <w:t>違反した年度の貸付料年額に相当する額</w:t>
      </w:r>
    </w:p>
    <w:p>
      <w:pPr>
        <w:pStyle w:val="0"/>
        <w:ind w:left="462" w:hanging="462" w:hangingChars="200"/>
        <w:rPr>
          <w:rFonts w:hint="default"/>
        </w:rPr>
      </w:pPr>
      <w:r>
        <w:rPr>
          <w:rFonts w:hint="eastAsia"/>
        </w:rPr>
        <w:t>（３）第１８条第１項第２号の規定によりこの契約を解除したとき</w:t>
      </w:r>
    </w:p>
    <w:p>
      <w:pPr>
        <w:pStyle w:val="0"/>
        <w:ind w:left="462" w:leftChars="200" w:firstLine="231" w:firstLineChars="100"/>
        <w:rPr>
          <w:rFonts w:hint="default"/>
        </w:rPr>
      </w:pPr>
      <w:r>
        <w:rPr>
          <w:rFonts w:hint="eastAsia"/>
        </w:rPr>
        <w:t>契約を解除した年度の貸付料年額の１００分の１０に相当する額</w:t>
      </w:r>
    </w:p>
    <w:p>
      <w:pPr>
        <w:pStyle w:val="0"/>
        <w:rPr>
          <w:rFonts w:hint="default"/>
        </w:rPr>
      </w:pPr>
      <w:r>
        <w:rPr>
          <w:rFonts w:hint="eastAsia"/>
        </w:rPr>
        <w:t>２　前項に定める違約金は、第２４条に定める損害賠償額の予定又はその一部と解釈しない。</w:t>
      </w:r>
    </w:p>
    <w:p>
      <w:pPr>
        <w:pStyle w:val="0"/>
        <w:rPr>
          <w:rFonts w:hint="default"/>
        </w:rPr>
      </w:pPr>
      <w:r>
        <w:rPr>
          <w:rFonts w:hint="eastAsia"/>
        </w:rPr>
        <w:t>（貸付物件の返還）</w:t>
      </w:r>
    </w:p>
    <w:p>
      <w:pPr>
        <w:pStyle w:val="0"/>
        <w:ind w:left="231" w:hanging="231" w:hangingChars="100"/>
        <w:rPr>
          <w:rFonts w:hint="default"/>
        </w:rPr>
      </w:pPr>
      <w:r>
        <w:rPr>
          <w:rFonts w:hint="eastAsia"/>
        </w:rPr>
        <w:t>第２２条　借受人は、次の各号に掲げる区分に従い、当該各号に定める日までに、貸付物件を原状に回復して、貸付人に返還しなければならない。ただし、貸付期間の満了前に、次の貸付期間にも引き続き同じ貸付物件を使用することができることが明らかになったときは、当該貸付物件を原状に回復することなく、引き続き使用することができる。</w:t>
      </w:r>
    </w:p>
    <w:p>
      <w:pPr>
        <w:pStyle w:val="0"/>
        <w:ind w:left="231" w:hanging="231" w:hangingChars="100"/>
        <w:rPr>
          <w:rFonts w:hint="default"/>
        </w:rPr>
      </w:pPr>
      <w:r>
        <w:rPr>
          <w:rFonts w:hint="eastAsia"/>
        </w:rPr>
        <w:t>（１）貸付期間の満了による場合</w:t>
      </w:r>
    </w:p>
    <w:p>
      <w:pPr>
        <w:pStyle w:val="0"/>
        <w:ind w:left="231" w:leftChars="100" w:firstLine="462" w:firstLineChars="200"/>
        <w:rPr>
          <w:rFonts w:hint="default"/>
        </w:rPr>
      </w:pPr>
      <w:r>
        <w:rPr>
          <w:rFonts w:hint="eastAsia"/>
        </w:rPr>
        <w:t>貸付期間の満了の日</w:t>
      </w:r>
    </w:p>
    <w:p>
      <w:pPr>
        <w:pStyle w:val="0"/>
        <w:rPr>
          <w:rFonts w:hint="default"/>
        </w:rPr>
      </w:pPr>
      <w:r>
        <w:rPr>
          <w:rFonts w:hint="eastAsia"/>
        </w:rPr>
        <w:t>（２）第１８条及び第１９条の規定により、この契約を解除する場合</w:t>
      </w:r>
    </w:p>
    <w:p>
      <w:pPr>
        <w:pStyle w:val="0"/>
        <w:ind w:firstLine="692" w:firstLineChars="300"/>
        <w:rPr>
          <w:rFonts w:hint="default"/>
        </w:rPr>
      </w:pPr>
      <w:r>
        <w:rPr>
          <w:rFonts w:hint="eastAsia"/>
        </w:rPr>
        <w:t>貸付人の指定する日</w:t>
      </w:r>
    </w:p>
    <w:p>
      <w:pPr>
        <w:pStyle w:val="0"/>
        <w:rPr>
          <w:rFonts w:hint="default"/>
        </w:rPr>
      </w:pPr>
      <w:r>
        <w:rPr>
          <w:rFonts w:hint="eastAsia"/>
        </w:rPr>
        <w:t>２　前項の貸付物件の返還は、貸付人の立会いの上で行うものとする。</w:t>
      </w:r>
    </w:p>
    <w:p>
      <w:pPr>
        <w:pStyle w:val="0"/>
        <w:ind w:left="231" w:hanging="231" w:hangingChars="100"/>
        <w:rPr>
          <w:rFonts w:hint="default"/>
        </w:rPr>
      </w:pPr>
      <w:r>
        <w:rPr>
          <w:rFonts w:hint="eastAsia"/>
        </w:rPr>
        <w:t>３　貸付人は、借受人が第１項に規定する義務を履行しないときは、借受人が設置する自動販売機を移設し、管理することができるものとする。この場合、貸付人に費用が生じたときは、その費用を借受人が貸付人に支払わなければならない。</w:t>
      </w:r>
    </w:p>
    <w:p>
      <w:pPr>
        <w:pStyle w:val="0"/>
        <w:rPr>
          <w:rFonts w:hint="default"/>
        </w:rPr>
      </w:pPr>
      <w:r>
        <w:rPr>
          <w:rFonts w:hint="eastAsia"/>
        </w:rPr>
        <w:t>（貸付料の返還）</w:t>
      </w:r>
    </w:p>
    <w:p>
      <w:pPr>
        <w:pStyle w:val="0"/>
        <w:ind w:left="231" w:hanging="231" w:hangingChars="100"/>
        <w:rPr>
          <w:rFonts w:hint="default"/>
        </w:rPr>
      </w:pPr>
      <w:r>
        <w:rPr>
          <w:rFonts w:hint="eastAsia"/>
        </w:rPr>
        <w:t>第２３条　貸付人は、第１８条第１項第１号の規定により、この契約を解除したときは、既納の貸付料のうち、借受人が貸付物件を貸付人に返還した日以降の未経過期間の貸付料を日割計算により返還する。ただし、１円未満の端数は切り捨てるものとする。</w:t>
      </w:r>
    </w:p>
    <w:p>
      <w:pPr>
        <w:pStyle w:val="0"/>
        <w:ind w:left="231" w:hanging="231" w:hangingChars="100"/>
        <w:rPr>
          <w:rFonts w:hint="default"/>
        </w:rPr>
      </w:pPr>
      <w:r>
        <w:rPr>
          <w:rFonts w:hint="eastAsia"/>
        </w:rPr>
        <w:t>２　貸付人は、第１８条第１項各号（第１号を除く。）又は第１９条に掲げる事由により、この契約を解除したときは、既納した貸付料を借受人に返還しない。</w:t>
      </w:r>
    </w:p>
    <w:p>
      <w:pPr>
        <w:pStyle w:val="0"/>
        <w:rPr>
          <w:rFonts w:hint="default"/>
        </w:rPr>
      </w:pPr>
      <w:r>
        <w:rPr>
          <w:rFonts w:hint="eastAsia"/>
        </w:rPr>
        <w:t>（損害賠償）</w:t>
      </w:r>
    </w:p>
    <w:p>
      <w:pPr>
        <w:pStyle w:val="0"/>
        <w:ind w:left="231" w:hanging="231" w:hangingChars="100"/>
        <w:rPr>
          <w:rFonts w:hint="default"/>
        </w:rPr>
      </w:pPr>
      <w:r>
        <w:rPr>
          <w:rFonts w:hint="eastAsia"/>
        </w:rPr>
        <w:t>第２４条　借受人は、この契約に定める義務を履行しないために貸付人に損害を与えたときは、その損害に相当する金額その他費用等を損害賠償として貸付人に支払わなければならない。</w:t>
      </w:r>
    </w:p>
    <w:p>
      <w:pPr>
        <w:pStyle w:val="0"/>
        <w:ind w:left="231" w:hanging="231" w:hangingChars="100"/>
        <w:rPr>
          <w:rFonts w:hint="default"/>
        </w:rPr>
      </w:pPr>
      <w:r>
        <w:rPr>
          <w:rFonts w:hint="eastAsia"/>
        </w:rPr>
        <w:t>２　借受人は、その責めに帰する事由により貸付物件の全部又は一部を滅失し、又はき損した場合において、貸付人が負担して原状に回復したときは、当該滅失し、又はき損したことによる損害に相当する金額その他費用等を損害賠償として貸付人に支払わなければならない。</w:t>
      </w:r>
    </w:p>
    <w:p>
      <w:pPr>
        <w:pStyle w:val="0"/>
        <w:ind w:left="231" w:hanging="231" w:hangingChars="100"/>
        <w:rPr>
          <w:rFonts w:hint="default"/>
        </w:rPr>
      </w:pPr>
      <w:r>
        <w:rPr>
          <w:rFonts w:hint="eastAsia"/>
        </w:rPr>
        <w:t>３　借受人は、第１８条第１項第１号の規定により貸付人がこの契約を解除した場合において、借受人に損害が生じるときは、貸付人にその補償を請求できるものとする。</w:t>
      </w:r>
    </w:p>
    <w:p>
      <w:pPr>
        <w:pStyle w:val="0"/>
        <w:ind w:left="231" w:hanging="231" w:hangingChars="100"/>
        <w:rPr>
          <w:rFonts w:hint="default"/>
        </w:rPr>
      </w:pPr>
      <w:r>
        <w:rPr>
          <w:rFonts w:hint="eastAsia"/>
        </w:rPr>
        <w:t>４　借受人は、貸付人の責めに帰する事由により自動販売機への電力の供給が停止され、販売品に損害が生じたときは、貸付人にその補償を請求できるものとする。</w:t>
      </w:r>
    </w:p>
    <w:p>
      <w:pPr>
        <w:pStyle w:val="0"/>
        <w:ind w:left="231" w:hanging="231" w:hangingChars="100"/>
        <w:rPr>
          <w:rFonts w:hint="default"/>
        </w:rPr>
      </w:pPr>
      <w:r>
        <w:rPr>
          <w:rFonts w:hint="eastAsia"/>
        </w:rPr>
        <w:t>５　借受人は、この契約に基づき設置する自動販売機の売上について、貸付人に一切の損害賠償を請求することができない。</w:t>
      </w:r>
    </w:p>
    <w:p>
      <w:pPr>
        <w:pStyle w:val="0"/>
        <w:rPr>
          <w:rFonts w:hint="default"/>
        </w:rPr>
      </w:pPr>
      <w:r>
        <w:rPr>
          <w:rFonts w:hint="eastAsia"/>
        </w:rPr>
        <w:t>（有益費等の請求権の放棄）</w:t>
      </w:r>
    </w:p>
    <w:p>
      <w:pPr>
        <w:pStyle w:val="0"/>
        <w:ind w:left="231" w:hanging="231" w:hangingChars="100"/>
        <w:rPr>
          <w:rFonts w:hint="default"/>
        </w:rPr>
      </w:pPr>
      <w:r>
        <w:rPr>
          <w:rFonts w:hint="eastAsia"/>
        </w:rPr>
        <w:t>第２５条　借受人は、貸付期間が満了した場合又は第１８条第１項第２号から第１５号の規定によりこの契約を解除された場合において、貸付物件に投じた改良費等の有益費及びその他の費用があっても、これを貸付人に請求することはできない。</w:t>
      </w:r>
    </w:p>
    <w:p>
      <w:pPr>
        <w:pStyle w:val="0"/>
        <w:rPr>
          <w:rFonts w:hint="default"/>
        </w:rPr>
      </w:pPr>
      <w:r>
        <w:rPr>
          <w:rFonts w:hint="eastAsia"/>
        </w:rPr>
        <w:t>（契約の費用）</w:t>
      </w:r>
    </w:p>
    <w:p>
      <w:pPr>
        <w:pStyle w:val="0"/>
        <w:rPr>
          <w:rFonts w:hint="default"/>
        </w:rPr>
      </w:pPr>
      <w:r>
        <w:rPr>
          <w:rFonts w:hint="eastAsia"/>
        </w:rPr>
        <w:t>第２６条　この契約の締結及び履行に関して必要な一切の費用は、全て借受人の負担とする。</w:t>
      </w:r>
    </w:p>
    <w:p>
      <w:pPr>
        <w:pStyle w:val="0"/>
        <w:rPr>
          <w:rFonts w:hint="default"/>
        </w:rPr>
      </w:pPr>
      <w:r>
        <w:rPr>
          <w:rFonts w:hint="eastAsia"/>
        </w:rPr>
        <w:t>（住所等の変更の届出）</w:t>
      </w:r>
    </w:p>
    <w:p>
      <w:pPr>
        <w:pStyle w:val="0"/>
        <w:ind w:left="231" w:hanging="231" w:hangingChars="100"/>
        <w:rPr>
          <w:rFonts w:hint="default"/>
        </w:rPr>
      </w:pPr>
      <w:r>
        <w:rPr>
          <w:rFonts w:hint="eastAsia"/>
        </w:rPr>
        <w:t>第２７条　借受人は、その住所又は氏名</w:t>
      </w:r>
      <w:r>
        <w:rPr>
          <w:rFonts w:hint="eastAsia"/>
        </w:rPr>
        <w:t>(</w:t>
      </w:r>
      <w:r>
        <w:rPr>
          <w:rFonts w:hint="eastAsia"/>
        </w:rPr>
        <w:t>法人の場合にあっては所在地又は名称</w:t>
      </w:r>
      <w:r>
        <w:rPr>
          <w:rFonts w:hint="eastAsia"/>
        </w:rPr>
        <w:t>)</w:t>
      </w:r>
      <w:r>
        <w:rPr>
          <w:rFonts w:hint="eastAsia"/>
        </w:rPr>
        <w:t>に変更があったときは、速やかに貸付人に届け出るものとする。</w:t>
      </w:r>
    </w:p>
    <w:p>
      <w:pPr>
        <w:pStyle w:val="0"/>
        <w:rPr>
          <w:rFonts w:hint="default"/>
        </w:rPr>
      </w:pPr>
      <w:r>
        <w:rPr>
          <w:rFonts w:hint="eastAsia"/>
        </w:rPr>
        <w:t>（自動販売機利用者等への対応）</w:t>
      </w:r>
    </w:p>
    <w:p>
      <w:pPr>
        <w:pStyle w:val="0"/>
        <w:ind w:left="231" w:hanging="231" w:hangingChars="100"/>
        <w:rPr>
          <w:rFonts w:hint="default"/>
        </w:rPr>
      </w:pPr>
      <w:r>
        <w:rPr>
          <w:rFonts w:hint="eastAsia"/>
        </w:rPr>
        <w:t>第２８条　借受人は、自動販売機の故障等の連絡先を明記し、自動販売機設置運営事業により発生するトラブル、苦情等について一切の責任を持って速やかに対応しなければならない。</w:t>
      </w:r>
    </w:p>
    <w:p>
      <w:pPr>
        <w:pStyle w:val="0"/>
        <w:rPr>
          <w:rFonts w:hint="default"/>
        </w:rPr>
      </w:pPr>
      <w:r>
        <w:rPr>
          <w:rFonts w:hint="eastAsia"/>
        </w:rPr>
        <w:t>（機種変更）</w:t>
      </w:r>
    </w:p>
    <w:p>
      <w:pPr>
        <w:pStyle w:val="0"/>
        <w:ind w:left="231" w:hanging="231" w:hangingChars="100"/>
        <w:rPr>
          <w:rFonts w:hint="default"/>
        </w:rPr>
      </w:pPr>
      <w:r>
        <w:rPr>
          <w:rFonts w:hint="eastAsia"/>
        </w:rPr>
        <w:t>第２９条　借受人は、自動販売機の機種を変更しようとするときは、あらかじめ貸付人の承認を受けるものとする。</w:t>
      </w:r>
    </w:p>
    <w:p>
      <w:pPr>
        <w:pStyle w:val="0"/>
        <w:rPr>
          <w:rFonts w:hint="default"/>
        </w:rPr>
      </w:pPr>
      <w:r>
        <w:rPr>
          <w:rFonts w:hint="eastAsia"/>
        </w:rPr>
        <w:t>（自動販売機の移設）</w:t>
      </w:r>
    </w:p>
    <w:p>
      <w:pPr>
        <w:pStyle w:val="0"/>
        <w:ind w:left="231" w:hanging="231" w:hangingChars="100"/>
        <w:rPr>
          <w:rFonts w:hint="default"/>
        </w:rPr>
      </w:pPr>
      <w:r>
        <w:rPr>
          <w:rFonts w:hint="eastAsia"/>
        </w:rPr>
        <w:t>第３０条　借受人は、貸付物件のある施設内の事務室等の配置変更等に伴い、貸付人が指定した位置を変更せざるを得ないとの貸付人の判断に基づき、貸付人から自動販売機又は回収ボックス等の移設について請求を受けたときは、借受人の負担により、貸付人が新たに指定する位置に当該自動販売機、回収ボックス等を移設しなければならない。</w:t>
      </w:r>
    </w:p>
    <w:p>
      <w:pPr>
        <w:pStyle w:val="0"/>
        <w:rPr>
          <w:rFonts w:hint="default"/>
        </w:rPr>
      </w:pPr>
      <w:r>
        <w:rPr>
          <w:rFonts w:hint="eastAsia"/>
        </w:rPr>
        <w:t>（緊急時の報告）</w:t>
      </w:r>
    </w:p>
    <w:p>
      <w:pPr>
        <w:pStyle w:val="0"/>
        <w:ind w:left="231" w:hanging="231" w:hangingChars="100"/>
        <w:rPr>
          <w:rFonts w:hint="default"/>
        </w:rPr>
      </w:pPr>
      <w:r>
        <w:rPr>
          <w:rFonts w:hint="eastAsia"/>
        </w:rPr>
        <w:t>第３１条　借受人は、次に掲げる事態が生じた場合は、直ちに貸付人に報告しなければならない。</w:t>
      </w:r>
    </w:p>
    <w:p>
      <w:pPr>
        <w:pStyle w:val="0"/>
        <w:ind w:left="231" w:hanging="231" w:hangingChars="100"/>
        <w:rPr>
          <w:rFonts w:hint="default"/>
        </w:rPr>
      </w:pPr>
      <w:r>
        <w:rPr>
          <w:rFonts w:hint="eastAsia"/>
        </w:rPr>
        <w:t>（１）自動販売機を休止する必要が生じた場合</w:t>
      </w:r>
    </w:p>
    <w:p>
      <w:pPr>
        <w:pStyle w:val="0"/>
        <w:rPr>
          <w:rFonts w:hint="default"/>
        </w:rPr>
      </w:pPr>
      <w:r>
        <w:rPr>
          <w:rFonts w:hint="eastAsia"/>
        </w:rPr>
        <w:t>（２）自動販売機において事故が発生し、又はそのおそれがある場合</w:t>
      </w:r>
    </w:p>
    <w:p>
      <w:pPr>
        <w:pStyle w:val="0"/>
        <w:ind w:left="462" w:hanging="462" w:hangingChars="200"/>
        <w:rPr>
          <w:rFonts w:hint="default"/>
        </w:rPr>
      </w:pPr>
      <w:r>
        <w:rPr>
          <w:rFonts w:hint="eastAsia"/>
        </w:rPr>
        <w:t>（３）その他自動販売機設置運営事業の履行に支障を来たす事態が発生し、又はそのおそれがある場合</w:t>
      </w:r>
    </w:p>
    <w:p>
      <w:pPr>
        <w:pStyle w:val="0"/>
        <w:ind w:left="231" w:hanging="231" w:hangingChars="100"/>
        <w:rPr>
          <w:rFonts w:hint="default"/>
        </w:rPr>
      </w:pPr>
      <w:r>
        <w:rPr>
          <w:rFonts w:hint="eastAsia"/>
        </w:rPr>
        <w:t>２　借受人は、自動販売機設置運営事業の履行ができないことが明らかになったときは、貸付人に対して直ちにその理由を付した書面を提出しなければならない。</w:t>
      </w:r>
    </w:p>
    <w:p>
      <w:pPr>
        <w:pStyle w:val="0"/>
        <w:rPr>
          <w:rFonts w:hint="default"/>
        </w:rPr>
      </w:pPr>
      <w:r>
        <w:rPr>
          <w:rFonts w:hint="eastAsia"/>
        </w:rPr>
        <w:t>（裁判管轄）</w:t>
      </w:r>
    </w:p>
    <w:p>
      <w:pPr>
        <w:pStyle w:val="0"/>
        <w:ind w:left="231" w:hanging="231" w:hangingChars="100"/>
        <w:rPr>
          <w:rFonts w:hint="default"/>
        </w:rPr>
      </w:pPr>
      <w:r>
        <w:rPr>
          <w:rFonts w:hint="eastAsia"/>
        </w:rPr>
        <w:t>第３２条　この契約から生ずる一切の法律関係に基づく訴えについては、この貸付物件を管轄する地方裁判所をもって管轄裁判所とする。</w:t>
      </w:r>
    </w:p>
    <w:p>
      <w:pPr>
        <w:pStyle w:val="0"/>
        <w:rPr>
          <w:rFonts w:hint="default"/>
        </w:rPr>
      </w:pPr>
    </w:p>
    <w:p>
      <w:pPr>
        <w:pStyle w:val="0"/>
        <w:rPr>
          <w:rFonts w:hint="default"/>
        </w:rPr>
      </w:pPr>
      <w:r>
        <w:rPr>
          <w:rFonts w:hint="eastAsia"/>
        </w:rPr>
        <w:t>（補則）</w:t>
      </w:r>
    </w:p>
    <w:p>
      <w:pPr>
        <w:pStyle w:val="0"/>
        <w:ind w:left="231" w:hanging="231" w:hangingChars="100"/>
        <w:rPr>
          <w:rFonts w:hint="default"/>
        </w:rPr>
      </w:pPr>
      <w:r>
        <w:rPr>
          <w:rFonts w:hint="eastAsia"/>
        </w:rPr>
        <w:t>第３３条　この契約に定めのない事項については、日向市財務規則（昭和４２年日向市規則第１号）に定めるところによるものとし、この契約及び日向市財務規則にともに定めのない事項については、必要に応じて貸付人と借受人が協議して定める。</w:t>
      </w:r>
    </w:p>
    <w:p>
      <w:pPr>
        <w:pStyle w:val="0"/>
        <w:ind w:left="923" w:hanging="923" w:hangingChars="400"/>
        <w:rPr>
          <w:rFonts w:hint="default"/>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4804410</wp:posOffset>
                </wp:positionH>
                <wp:positionV relativeFrom="paragraph">
                  <wp:posOffset>-320040</wp:posOffset>
                </wp:positionV>
                <wp:extent cx="1314450" cy="185039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314450" cy="1850390"/>
                        </a:xfrm>
                        <a:prstGeom prst="rect">
                          <a:avLst/>
                        </a:prstGeom>
                        <a:noFill/>
                        <a:ln w="9525">
                          <a:noFill/>
                          <a:miter lim="800000"/>
                          <a:headEnd/>
                          <a:tailEnd/>
                        </a:ln>
                      </wps:spPr>
                      <wps:txbx>
                        <w:txbxContent>
                          <w:p>
                            <w:pPr>
                              <w:pStyle w:val="0"/>
                              <w:jc w:val="right"/>
                              <w:rPr>
                                <w:rFonts w:hint="default"/>
                              </w:rPr>
                            </w:pPr>
                            <w:r>
                              <w:rPr>
                                <w:rFonts w:hint="eastAsia"/>
                              </w:rPr>
                              <w:t>（</w:t>
                            </w:r>
                            <w:r>
                              <w:rPr>
                                <w:rFonts w:hint="eastAsia"/>
                              </w:rPr>
                              <w:t xml:space="preserve"> </w:t>
                            </w:r>
                            <w:r>
                              <w:rPr>
                                <w:rFonts w:hint="eastAsia"/>
                              </w:rPr>
                              <w:t>別</w:t>
                            </w:r>
                            <w:r>
                              <w:rPr>
                                <w:rFonts w:hint="eastAsia"/>
                              </w:rPr>
                              <w:t xml:space="preserve"> </w:t>
                            </w:r>
                            <w:r>
                              <w:rPr>
                                <w:rFonts w:hint="eastAsia"/>
                              </w:rPr>
                              <w:t>紙</w:t>
                            </w:r>
                            <w:r>
                              <w:rPr>
                                <w:rFonts w:hint="eastAsia"/>
                              </w:rPr>
                              <w:t xml:space="preserve"> </w:t>
                            </w:r>
                            <w:r>
                              <w:rPr>
                                <w:rFonts w:hint="eastAsia"/>
                              </w:rPr>
                              <w:t>）</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25.2pt;mso-position-vertical-relative:text;mso-position-horizontal-relative:text;v-text-anchor:top;position:absolute;height:145.69pt;mso-wrap-distance-top:0pt;width:103.5pt;mso-wrap-distance-left:9pt;margin-left:378.3pt;z-index:2;" o:spid="_x0000_s1026" o:allowincell="t" o:allowoverlap="t" filled="f" stroked="f" strokeweight="0.75pt" o:spt="202" type="#_x0000_t202">
                <v:fill/>
                <v:stroke miterlimit="8"/>
                <v:textbox style="layout-flow:horizontal;mso-fit-shape-to-text:t;">
                  <w:txbxContent>
                    <w:p>
                      <w:pPr>
                        <w:pStyle w:val="0"/>
                        <w:jc w:val="right"/>
                        <w:rPr>
                          <w:rFonts w:hint="default"/>
                        </w:rPr>
                      </w:pPr>
                      <w:r>
                        <w:rPr>
                          <w:rFonts w:hint="eastAsia"/>
                        </w:rPr>
                        <w:t>（</w:t>
                      </w:r>
                      <w:r>
                        <w:rPr>
                          <w:rFonts w:hint="eastAsia"/>
                        </w:rPr>
                        <w:t xml:space="preserve"> </w:t>
                      </w:r>
                      <w:r>
                        <w:rPr>
                          <w:rFonts w:hint="eastAsia"/>
                        </w:rPr>
                        <w:t>別</w:t>
                      </w:r>
                      <w:r>
                        <w:rPr>
                          <w:rFonts w:hint="eastAsia"/>
                        </w:rPr>
                        <w:t xml:space="preserve"> </w:t>
                      </w:r>
                      <w:r>
                        <w:rPr>
                          <w:rFonts w:hint="eastAsia"/>
                        </w:rPr>
                        <w:t>紙</w:t>
                      </w:r>
                      <w:r>
                        <w:rPr>
                          <w:rFonts w:hint="eastAsia"/>
                        </w:rPr>
                        <w:t xml:space="preserve"> </w:t>
                      </w:r>
                      <w:r>
                        <w:rPr>
                          <w:rFonts w:hint="eastAsia"/>
                        </w:rPr>
                        <w:t>）</w:t>
                      </w:r>
                    </w:p>
                  </w:txbxContent>
                </v:textbox>
                <v:imagedata o:title=""/>
                <w10:wrap type="none" anchorx="text" anchory="text"/>
              </v:shape>
            </w:pict>
          </mc:Fallback>
        </mc:AlternateContent>
      </w:r>
    </w:p>
    <w:p>
      <w:pPr>
        <w:pStyle w:val="0"/>
        <w:ind w:left="923" w:hanging="923" w:hangingChars="400"/>
        <w:jc w:val="center"/>
        <w:rPr>
          <w:rFonts w:hint="default"/>
        </w:rPr>
      </w:pPr>
      <w:r>
        <w:rPr>
          <w:rFonts w:hint="eastAsia"/>
        </w:rPr>
        <w:t>光熱水費の実費相当額の算定方法</w:t>
      </w:r>
    </w:p>
    <w:p>
      <w:pPr>
        <w:pStyle w:val="0"/>
        <w:ind w:left="923" w:hanging="923" w:hangingChars="400"/>
        <w:rPr>
          <w:rFonts w:hint="default"/>
        </w:rPr>
      </w:pPr>
    </w:p>
    <w:p>
      <w:pPr>
        <w:pStyle w:val="0"/>
        <w:ind w:left="923" w:hanging="923" w:hangingChars="400"/>
        <w:rPr>
          <w:rFonts w:hint="default"/>
        </w:rPr>
      </w:pPr>
    </w:p>
    <w:p>
      <w:pPr>
        <w:pStyle w:val="0"/>
        <w:ind w:left="923" w:hanging="923" w:hangingChars="400"/>
        <w:rPr>
          <w:rFonts w:hint="default"/>
        </w:rPr>
      </w:pPr>
      <w:r>
        <w:rPr>
          <w:rFonts w:hint="eastAsia"/>
        </w:rPr>
        <w:t>１　電気料</w:t>
      </w:r>
      <w:r>
        <w:rPr>
          <w:rFonts w:hint="eastAsia"/>
        </w:rPr>
        <w:t>(</w:t>
      </w:r>
      <w:r>
        <w:rPr>
          <w:rFonts w:hint="eastAsia"/>
        </w:rPr>
        <w:t>月額</w:t>
      </w:r>
      <w:r>
        <w:rPr>
          <w:rFonts w:hint="eastAsia"/>
        </w:rPr>
        <w:t>)</w:t>
      </w:r>
    </w:p>
    <w:p>
      <w:pPr>
        <w:pStyle w:val="0"/>
        <w:ind w:left="923" w:hanging="923" w:hangingChars="400"/>
        <w:rPr>
          <w:rFonts w:hint="default"/>
        </w:rPr>
      </w:pPr>
    </w:p>
    <w:p>
      <w:pPr>
        <w:pStyle w:val="0"/>
        <w:ind w:left="923" w:hanging="923" w:hangingChars="400"/>
        <w:rPr>
          <w:rFonts w:hint="default"/>
        </w:rPr>
      </w:pPr>
    </w:p>
    <w:p>
      <w:pPr>
        <w:pStyle w:val="0"/>
        <w:ind w:left="924" w:leftChars="200" w:hanging="462" w:hangingChars="200"/>
        <w:rPr>
          <w:rFonts w:hint="default"/>
        </w:rPr>
      </w:pPr>
      <w:r>
        <w:rPr>
          <w:rFonts w:hint="eastAsia"/>
        </w:rPr>
        <w:t>実費相当額（月額）＝</w:t>
      </w:r>
    </w:p>
    <w:p>
      <w:pPr>
        <w:pStyle w:val="0"/>
        <w:ind w:left="923" w:leftChars="400" w:firstLine="4500" w:firstLineChars="1950"/>
        <w:rPr>
          <w:rFonts w:hint="default"/>
        </w:rPr>
      </w:pPr>
      <w:r>
        <w:rPr>
          <w:rFonts w:hint="eastAsia"/>
        </w:rPr>
        <w:t>子メーターの表示する月間の使用量</w:t>
      </w:r>
    </w:p>
    <w:p>
      <w:pPr>
        <w:pStyle w:val="0"/>
        <w:ind w:left="923" w:leftChars="300" w:hanging="231" w:hangingChars="100"/>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3242310</wp:posOffset>
                </wp:positionH>
                <wp:positionV relativeFrom="paragraph">
                  <wp:posOffset>97790</wp:posOffset>
                </wp:positionV>
                <wp:extent cx="2838450" cy="0"/>
                <wp:effectExtent l="0" t="635" r="29210" b="10795"/>
                <wp:wrapNone/>
                <wp:docPr id="1027" name="直線コネクタ 27"/>
                <a:graphic xmlns:a="http://schemas.openxmlformats.org/drawingml/2006/main">
                  <a:graphicData uri="http://schemas.microsoft.com/office/word/2010/wordprocessingShape">
                    <wps:wsp>
                      <wps:cNvPr id="1027" name="直線コネクタ 27"/>
                      <wps:cNvSpPr/>
                      <wps:spPr>
                        <a:xfrm>
                          <a:off x="0" y="0"/>
                          <a:ext cx="28384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直線コネクタ 27" style="mso-wrap-distance-top:0pt;mso-wrap-distance-right:9pt;mso-wrap-distance-bottom:0pt;mso-position-vertical-relative:text;mso-position-horizontal-relative:text;position:absolute;mso-wrap-distance-left:9pt;z-index:3;" o:spid="_x0000_s1027" o:allowincell="t" o:allowoverlap="t" filled="f" stroked="t" strokecolor="#000000" strokeweight="0.75pt" o:spt="20" from="255.3pt,7.7pt" to="478.8pt,7.7pt">
                <v:fill/>
                <v:stroke linestyle="single" endcap="flat" dashstyle="solid" filltype="solid"/>
                <v:textbox style="layout-flow:horizontal;"/>
                <v:imagedata o:title=""/>
                <w10:wrap type="none" anchorx="text" anchory="text"/>
              </v:line>
            </w:pict>
          </mc:Fallback>
        </mc:AlternateContent>
      </w:r>
      <w:r>
        <w:rPr>
          <w:rFonts w:hint="eastAsia"/>
        </w:rPr>
        <w:t>本メーターによる月額使用料（税込）×　　　　　　　　　　　　　　　　　　　　</w:t>
      </w:r>
    </w:p>
    <w:p>
      <w:pPr>
        <w:pStyle w:val="0"/>
        <w:ind w:firstLine="502" w:firstLineChars="250"/>
        <w:rPr>
          <w:rFonts w:hint="default"/>
        </w:rPr>
      </w:pPr>
      <w:r>
        <w:rPr>
          <w:rFonts w:hint="eastAsia"/>
          <w:sz w:val="21"/>
        </w:rPr>
        <w:t>（施設全体の電気料金（基本料等金含む。）</w:t>
      </w:r>
      <w:r>
        <w:rPr>
          <w:rFonts w:hint="eastAsia"/>
          <w:sz w:val="21"/>
        </w:rPr>
        <w:t>)</w:t>
      </w:r>
      <w:r>
        <w:rPr>
          <w:rFonts w:hint="eastAsia"/>
        </w:rPr>
        <w:t>　　　　本メーターの表示する月間の使用量</w:t>
      </w:r>
    </w:p>
    <w:p>
      <w:pPr>
        <w:pStyle w:val="0"/>
        <w:ind w:left="923" w:hanging="923" w:hangingChars="400"/>
        <w:rPr>
          <w:rFonts w:hint="default"/>
        </w:rPr>
      </w:pPr>
    </w:p>
    <w:p>
      <w:pPr>
        <w:pStyle w:val="0"/>
        <w:ind w:left="923" w:hanging="923" w:hangingChars="400"/>
        <w:rPr>
          <w:rFonts w:hint="default"/>
        </w:rPr>
      </w:pPr>
    </w:p>
    <w:p>
      <w:pPr>
        <w:pStyle w:val="0"/>
        <w:ind w:left="923" w:hanging="923" w:hangingChars="400"/>
        <w:rPr>
          <w:rFonts w:hint="default"/>
        </w:rPr>
      </w:pPr>
      <w:r>
        <w:rPr>
          <w:rFonts w:hint="eastAsia"/>
        </w:rPr>
        <w:t>２　水道料</w:t>
      </w:r>
      <w:r>
        <w:rPr>
          <w:rFonts w:hint="eastAsia"/>
        </w:rPr>
        <w:t>(</w:t>
      </w:r>
      <w:r>
        <w:rPr>
          <w:rFonts w:hint="eastAsia"/>
        </w:rPr>
        <w:t>月額</w:t>
      </w:r>
      <w:r>
        <w:rPr>
          <w:rFonts w:hint="eastAsia"/>
        </w:rPr>
        <w:t>)</w:t>
      </w:r>
    </w:p>
    <w:p>
      <w:pPr>
        <w:pStyle w:val="0"/>
        <w:ind w:left="923" w:hanging="923" w:hangingChars="400"/>
        <w:rPr>
          <w:rFonts w:hint="default"/>
        </w:rPr>
      </w:pPr>
    </w:p>
    <w:p>
      <w:pPr>
        <w:pStyle w:val="0"/>
        <w:ind w:left="923" w:hanging="923" w:hangingChars="400"/>
        <w:rPr>
          <w:rFonts w:hint="default"/>
        </w:rPr>
      </w:pPr>
    </w:p>
    <w:p>
      <w:pPr>
        <w:pStyle w:val="0"/>
        <w:ind w:left="924" w:leftChars="200" w:hanging="462" w:hangingChars="200"/>
        <w:rPr>
          <w:rFonts w:hint="default"/>
        </w:rPr>
      </w:pPr>
      <w:r>
        <w:rPr>
          <w:rFonts w:hint="eastAsia"/>
        </w:rPr>
        <w:t>最少メーター口径（１３㎜）月額基本料金（税込）</w:t>
      </w:r>
    </w:p>
    <w:p>
      <w:pPr>
        <w:pStyle w:val="0"/>
        <w:rPr>
          <w:rFonts w:hint="default"/>
        </w:rPr>
      </w:pPr>
    </w:p>
    <w:p>
      <w:pPr>
        <w:pStyle w:val="0"/>
        <w:rPr>
          <w:rFonts w:hint="default"/>
        </w:rPr>
      </w:pPr>
    </w:p>
    <w:sectPr>
      <w:pgSz w:w="11906" w:h="16838"/>
      <w:pgMar w:top="1134" w:right="1134" w:bottom="1134" w:left="1134" w:header="454" w:footer="227" w:gutter="0"/>
      <w:cols w:space="720"/>
      <w:textDirection w:val="lrTb"/>
      <w:docGrid w:type="linesAndChars" w:linePitch="364" w:charSpace="-18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P明朝 Medium">
    <w:panose1 w:val="000008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231"/>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pPrDefault>
      <w:pPr>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Date"/>
    <w:basedOn w:val="0"/>
    <w:next w:val="0"/>
    <w:link w:val="22"/>
    <w:uiPriority w:val="0"/>
  </w:style>
  <w:style w:type="character" w:styleId="22" w:customStyle="1">
    <w:name w:val="日付 (文字)"/>
    <w:basedOn w:val="10"/>
    <w:next w:val="22"/>
    <w:link w:val="21"/>
    <w:uiPriority w:val="0"/>
  </w:style>
  <w:style w:type="paragraph" w:styleId="23">
    <w:name w:val="Note Heading"/>
    <w:basedOn w:val="0"/>
    <w:next w:val="0"/>
    <w:link w:val="24"/>
    <w:uiPriority w:val="0"/>
    <w:pPr>
      <w:jc w:val="center"/>
    </w:pPr>
  </w:style>
  <w:style w:type="character" w:styleId="24" w:customStyle="1">
    <w:name w:val="記 (文字)"/>
    <w:basedOn w:val="10"/>
    <w:next w:val="24"/>
    <w:link w:val="23"/>
    <w:uiPriority w:val="0"/>
  </w:style>
  <w:style w:type="paragraph" w:styleId="25">
    <w:name w:val="Closing"/>
    <w:basedOn w:val="0"/>
    <w:next w:val="25"/>
    <w:link w:val="26"/>
    <w:uiPriority w:val="0"/>
    <w:pPr>
      <w:jc w:val="right"/>
    </w:pPr>
  </w:style>
  <w:style w:type="character" w:styleId="26" w:customStyle="1">
    <w:name w:val="結語 (文字)"/>
    <w:basedOn w:val="10"/>
    <w:next w:val="26"/>
    <w:link w:val="25"/>
    <w:uiPriority w:val="0"/>
  </w:style>
  <w:style w:type="paragraph" w:styleId="27">
    <w:name w:val="List Paragraph"/>
    <w:basedOn w:val="0"/>
    <w:next w:val="27"/>
    <w:link w:val="0"/>
    <w:uiPriority w:val="0"/>
    <w:qFormat/>
    <w:pPr>
      <w:ind w:left="840" w:leftChars="400"/>
    </w:p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1"/>
    <w:basedOn w:val="11"/>
    <w:next w:val="31"/>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2"/>
    <w:basedOn w:val="11"/>
    <w:next w:val="32"/>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3"/>
    <w:basedOn w:val="11"/>
    <w:next w:val="33"/>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4"/>
    <w:basedOn w:val="11"/>
    <w:next w:val="34"/>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5"/>
    <w:basedOn w:val="11"/>
    <w:next w:val="35"/>
    <w:link w:val="0"/>
    <w:uiPriority w:val="0"/>
    <w:pPr>
      <w:jc w:val="left"/>
    </w:pPr>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377</TotalTime>
  <Pages>9</Pages>
  <Words>9</Words>
  <Characters>8610</Characters>
  <Application>JUST Note</Application>
  <Lines>356</Lines>
  <Paragraphs>195</Paragraphs>
  <Company>日向市役所</Company>
  <CharactersWithSpaces>8823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hyuga</dc:creator>
  <cp:lastModifiedBy>西田 豊</cp:lastModifiedBy>
  <cp:lastPrinted>2022-05-06T04:41:00Z</cp:lastPrinted>
  <dcterms:created xsi:type="dcterms:W3CDTF">2020-12-22T02:47:00Z</dcterms:created>
  <dcterms:modified xsi:type="dcterms:W3CDTF">2025-04-01T05:45:03Z</dcterms:modified>
  <cp:revision>19</cp:revision>
</cp:coreProperties>
</file>