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jc w:val="center"/>
        <w:rPr>
          <w:rFonts w:hint="eastAsia" w:ascii="ＭＳ ゴシック" w:hAnsi="ＭＳ ゴシック" w:eastAsia="ＭＳ ゴシック"/>
          <w:b w:val="1"/>
          <w:color w:val="auto"/>
          <w:sz w:val="72"/>
        </w:rPr>
      </w:pPr>
      <w:r>
        <w:rPr>
          <w:rFonts w:hint="eastAsia" w:ascii="ＭＳ ゴシック" w:hAnsi="ＭＳ ゴシック" w:eastAsia="ＭＳ ゴシック"/>
          <w:b w:val="1"/>
          <w:color w:val="auto"/>
          <w:sz w:val="44"/>
        </w:rPr>
        <w:t>日向市ＤＸ推進計画</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b w:val="1"/>
          <w:color w:val="auto"/>
          <w:sz w:val="32"/>
        </w:rPr>
        <w:t>令和</w:t>
      </w:r>
      <w:r>
        <w:rPr>
          <w:rFonts w:hint="eastAsia" w:ascii="ＭＳ ゴシック" w:hAnsi="ＭＳ ゴシック" w:eastAsia="ＭＳ ゴシック"/>
          <w:b w:val="1"/>
          <w:color w:val="auto"/>
          <w:sz w:val="32"/>
        </w:rPr>
        <w:t>4</w:t>
      </w:r>
      <w:r>
        <w:rPr>
          <w:rFonts w:hint="eastAsia" w:ascii="ＭＳ ゴシック" w:hAnsi="ＭＳ ゴシック" w:eastAsia="ＭＳ ゴシック"/>
          <w:b w:val="1"/>
          <w:color w:val="auto"/>
          <w:sz w:val="32"/>
        </w:rPr>
        <w:t>年</w:t>
      </w:r>
      <w:r>
        <w:rPr>
          <w:rFonts w:hint="eastAsia" w:ascii="ＭＳ ゴシック" w:hAnsi="ＭＳ ゴシック" w:eastAsia="ＭＳ ゴシック"/>
          <w:b w:val="1"/>
          <w:color w:val="auto"/>
          <w:sz w:val="32"/>
        </w:rPr>
        <w:t>2</w:t>
      </w:r>
      <w:r>
        <w:rPr>
          <w:rFonts w:hint="eastAsia" w:ascii="ＭＳ ゴシック" w:hAnsi="ＭＳ ゴシック" w:eastAsia="ＭＳ ゴシック"/>
          <w:b w:val="1"/>
          <w:color w:val="auto"/>
          <w:sz w:val="32"/>
        </w:rPr>
        <w:t>月</w:t>
      </w:r>
    </w:p>
    <w:p>
      <w:pPr>
        <w:pStyle w:val="0"/>
        <w:rPr>
          <w:rFonts w:hint="eastAsia" w:ascii="ＭＳ ゴシック" w:hAnsi="ＭＳ ゴシック" w:eastAsia="ＭＳ ゴシック"/>
          <w:color w:val="auto"/>
        </w:rPr>
      </w:pP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b w:val="1"/>
          <w:color w:val="auto"/>
          <w:sz w:val="36"/>
        </w:rPr>
        <w:t>日向市</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br w:type="page"/>
      </w:r>
    </w:p>
    <w:p>
      <w:pPr>
        <w:pStyle w:val="0"/>
        <w:outlineLvl w:val="0"/>
        <w:rPr>
          <w:rFonts w:hint="eastAsia" w:ascii="ＭＳ ゴシック" w:hAnsi="ＭＳ ゴシック" w:eastAsia="ＭＳ ゴシック"/>
          <w:color w:val="auto"/>
        </w:rPr>
      </w:pPr>
      <w:bookmarkStart w:id="0" w:name="_Toc18145"/>
      <w:bookmarkStart w:id="1" w:name="_Toc19235"/>
      <w:bookmarkStart w:id="2" w:name="_Toc20931"/>
      <w:bookmarkStart w:id="3" w:name="_Toc25278"/>
      <w:bookmarkStart w:id="4" w:name="_Toc2622"/>
      <w:bookmarkStart w:id="5" w:name="_Toc31423"/>
      <w:bookmarkStart w:id="6" w:name="_Toc31750"/>
      <w:bookmarkStart w:id="7" w:name="_Toc31832"/>
      <w:bookmarkStart w:id="8" w:name="_Toc32390"/>
      <w:bookmarkStart w:id="9" w:name="_Toc32762"/>
      <w:bookmarkStart w:id="10" w:name="_Toc429"/>
      <w:bookmarkStart w:id="11" w:name="_Toc7383"/>
      <w:r>
        <w:rPr>
          <w:rFonts w:hint="eastAsia" w:ascii="ＭＳ ゴシック" w:hAnsi="ＭＳ ゴシック" w:eastAsia="ＭＳ ゴシック"/>
          <w:color w:val="auto"/>
          <w:sz w:val="32"/>
        </w:rPr>
        <w:t>目次</w:t>
      </w:r>
      <w:bookmarkEnd w:id="0"/>
      <w:bookmarkEnd w:id="1"/>
      <w:bookmarkEnd w:id="2"/>
      <w:bookmarkEnd w:id="3"/>
      <w:bookmarkEnd w:id="4"/>
      <w:bookmarkEnd w:id="5"/>
      <w:bookmarkEnd w:id="6"/>
      <w:bookmarkEnd w:id="7"/>
      <w:bookmarkEnd w:id="8"/>
      <w:bookmarkEnd w:id="9"/>
      <w:bookmarkEnd w:id="10"/>
      <w:bookmarkEnd w:id="11"/>
    </w:p>
    <w:p>
      <w:pPr>
        <w:pStyle w:val="22"/>
        <w:tabs>
          <w:tab w:val="right" w:leader="dot" w:pos="9746"/>
        </w:tabs>
        <w:rPr>
          <w:rFonts w:hint="eastAsia"/>
        </w:rPr>
      </w:pPr>
      <w:r>
        <w:rPr>
          <w:rFonts w:hint="eastAsia"/>
        </w:rPr>
        <w:fldChar w:fldCharType="begin"/>
      </w:r>
      <w:r>
        <w:rPr>
          <w:rFonts w:hint="eastAsia"/>
        </w:rPr>
        <w:instrText xml:space="preserve">TOC \u \o "1-4" \h \z </w:instrText>
      </w:r>
      <w:r>
        <w:rPr>
          <w:rFonts w:hint="eastAsia"/>
        </w:rPr>
        <w:fldChar w:fldCharType="separate"/>
      </w:r>
    </w:p>
    <w:p>
      <w:pPr>
        <w:pStyle w:val="22"/>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"_Toc5885"</w:instrText>
      </w:r>
      <w:r>
        <w:rPr>
          <w:rFonts w:hint="eastAsia"/>
        </w:rPr>
        <w:fldChar w:fldCharType="separate"/>
      </w:r>
      <w:r>
        <w:rPr>
          <w:rFonts w:hint="eastAsia" w:ascii="ＭＳ ゴシック" w:hAnsi="ＭＳ ゴシック" w:eastAsia="ＭＳ ゴシック"/>
        </w:rPr>
        <w:t xml:space="preserve">1. </w:t>
      </w:r>
      <w:r>
        <w:rPr>
          <w:rFonts w:hint="eastAsia" w:ascii="ＭＳ ゴシック" w:hAnsi="ＭＳ ゴシック" w:eastAsia="ＭＳ ゴシック"/>
        </w:rPr>
        <w:t>はじめに</w:t>
      </w:r>
      <w:r>
        <w:rPr>
          <w:rFonts w:hint="eastAsia" w:ascii="ＭＳ ゴシック" w:hAnsi="ＭＳ ゴシック" w:eastAsia="ＭＳ ゴシック"/>
        </w:rPr>
        <w:tab/>
      </w:r>
      <w:r>
        <w:rPr>
          <w:rFonts w:hint="eastAsia"/>
        </w:rPr>
        <w:fldChar w:fldCharType="end"/>
      </w:r>
      <w:r>
        <w:rPr>
          <w:rFonts w:hint="eastAsia" w:ascii="ＭＳ ゴシック" w:hAnsi="ＭＳ ゴシック" w:eastAsia="ＭＳ ゴシック"/>
        </w:rPr>
        <w:t>1</w:t>
      </w:r>
    </w:p>
    <w:p>
      <w:pPr>
        <w:pStyle w:val="22"/>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"_Toc17860"</w:instrText>
      </w:r>
      <w:r>
        <w:rPr>
          <w:rFonts w:hint="eastAsia"/>
        </w:rPr>
        <w:fldChar w:fldCharType="separate"/>
      </w:r>
      <w:r>
        <w:rPr>
          <w:rFonts w:hint="eastAsia" w:ascii="ＭＳ ゴシック" w:hAnsi="ＭＳ ゴシック" w:eastAsia="ＭＳ ゴシック"/>
        </w:rPr>
        <w:t>2. DX</w:t>
      </w:r>
      <w:r>
        <w:rPr>
          <w:rFonts w:hint="eastAsia" w:ascii="ＭＳ ゴシック" w:hAnsi="ＭＳ ゴシック" w:eastAsia="ＭＳ ゴシック"/>
        </w:rPr>
        <w:t>推進による本市の将来像</w:t>
      </w:r>
      <w:r>
        <w:rPr>
          <w:rFonts w:hint="eastAsia" w:ascii="ＭＳ ゴシック" w:hAnsi="ＭＳ ゴシック" w:eastAsia="ＭＳ ゴシック"/>
        </w:rPr>
        <w:tab/>
      </w:r>
      <w:r>
        <w:rPr>
          <w:rFonts w:hint="eastAsia"/>
        </w:rPr>
        <w:fldChar w:fldCharType="end"/>
      </w:r>
      <w:r>
        <w:rPr>
          <w:rFonts w:hint="eastAsia" w:ascii="ＭＳ ゴシック" w:hAnsi="ＭＳ ゴシック" w:eastAsia="ＭＳ ゴシック"/>
        </w:rPr>
        <w:t>1</w:t>
      </w:r>
    </w:p>
    <w:p>
      <w:pPr>
        <w:pStyle w:val="22"/>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"_Toc19470"</w:instrText>
      </w:r>
      <w:r>
        <w:rPr>
          <w:rFonts w:hint="eastAsia"/>
        </w:rPr>
        <w:fldChar w:fldCharType="separate"/>
      </w:r>
      <w:r>
        <w:rPr>
          <w:rFonts w:hint="eastAsia" w:ascii="ＭＳ ゴシック" w:hAnsi="ＭＳ ゴシック" w:eastAsia="ＭＳ ゴシック"/>
        </w:rPr>
        <w:t xml:space="preserve">3. </w:t>
      </w:r>
      <w:r>
        <w:rPr>
          <w:rFonts w:hint="eastAsia" w:ascii="ＭＳ ゴシック" w:hAnsi="ＭＳ ゴシック" w:eastAsia="ＭＳ ゴシック"/>
        </w:rPr>
        <w:t>本計画の対象期間</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_Toc19470 \h </w:instrText>
      </w:r>
      <w:r>
        <w:rPr>
          <w:rFonts w:hint="eastAsia"/>
        </w:rPr>
        <w:fldChar w:fldCharType="separate"/>
      </w:r>
      <w:r>
        <w:rPr>
          <w:rFonts w:hint="eastAsia" w:ascii="ＭＳ ゴシック" w:hAnsi="ＭＳ ゴシック" w:eastAsia="ＭＳ ゴシック"/>
        </w:rPr>
        <w:t>2</w:t>
      </w:r>
      <w:r>
        <w:rPr>
          <w:rFonts w:hint="eastAsia"/>
        </w:rPr>
        <w:fldChar w:fldCharType="end"/>
      </w:r>
    </w:p>
    <w:p>
      <w:pPr>
        <w:pStyle w:val="22"/>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"_Toc29060"</w:instrText>
      </w:r>
      <w:r>
        <w:rPr>
          <w:rFonts w:hint="eastAsia"/>
        </w:rPr>
        <w:fldChar w:fldCharType="separate"/>
      </w:r>
      <w:r>
        <w:rPr>
          <w:rFonts w:hint="eastAsia" w:ascii="ＭＳ ゴシック" w:hAnsi="ＭＳ ゴシック" w:eastAsia="ＭＳ ゴシック"/>
        </w:rPr>
        <w:t>4. DX</w:t>
      </w:r>
      <w:r>
        <w:rPr>
          <w:rFonts w:hint="eastAsia" w:ascii="ＭＳ ゴシック" w:hAnsi="ＭＳ ゴシック" w:eastAsia="ＭＳ ゴシック"/>
        </w:rPr>
        <w:t>推進体制の構築</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_Toc29060 \h </w:instrText>
      </w:r>
      <w:r>
        <w:rPr>
          <w:rFonts w:hint="eastAsia"/>
        </w:rPr>
        <w:fldChar w:fldCharType="separate"/>
      </w:r>
      <w:r>
        <w:rPr>
          <w:rFonts w:hint="eastAsia" w:ascii="ＭＳ ゴシック" w:hAnsi="ＭＳ ゴシック" w:eastAsia="ＭＳ ゴシック"/>
        </w:rPr>
        <w:t>2</w:t>
      </w:r>
      <w:r>
        <w:rPr>
          <w:rFonts w:hint="eastAsia"/>
        </w:rPr>
        <w:fldChar w:fldCharType="end"/>
      </w:r>
    </w:p>
    <w:p>
      <w:pPr>
        <w:pStyle w:val="21"/>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"_Toc18323"</w:instrText>
      </w:r>
      <w:r>
        <w:rPr>
          <w:rFonts w:hint="eastAsia"/>
        </w:rPr>
        <w:fldChar w:fldCharType="separate"/>
      </w:r>
      <w:r>
        <w:rPr>
          <w:rFonts w:hint="eastAsia" w:ascii="ＭＳ ゴシック" w:hAnsi="ＭＳ ゴシック" w:eastAsia="ＭＳ ゴシック"/>
        </w:rPr>
        <w:t xml:space="preserve">4.1 </w:t>
      </w:r>
      <w:r>
        <w:rPr>
          <w:rFonts w:hint="eastAsia" w:ascii="ＭＳ ゴシック" w:hAnsi="ＭＳ ゴシック" w:eastAsia="ＭＳ ゴシック"/>
        </w:rPr>
        <w:t>組織体制</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_Toc18323 \h </w:instrText>
      </w:r>
      <w:r>
        <w:rPr>
          <w:rFonts w:hint="eastAsia"/>
        </w:rPr>
        <w:fldChar w:fldCharType="separate"/>
      </w:r>
      <w:r>
        <w:rPr>
          <w:rFonts w:hint="eastAsia" w:ascii="ＭＳ ゴシック" w:hAnsi="ＭＳ ゴシック" w:eastAsia="ＭＳ ゴシック"/>
        </w:rPr>
        <w:t>2</w:t>
      </w:r>
      <w:r>
        <w:rPr>
          <w:rFonts w:hint="eastAsia"/>
        </w:rPr>
        <w:fldChar w:fldCharType="end"/>
      </w:r>
    </w:p>
    <w:p>
      <w:pPr>
        <w:pStyle w:val="21"/>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"_Toc25538"</w:instrText>
      </w:r>
      <w:r>
        <w:rPr>
          <w:rFonts w:hint="eastAsia"/>
        </w:rPr>
        <w:fldChar w:fldCharType="separate"/>
      </w:r>
      <w:r>
        <w:rPr>
          <w:rFonts w:hint="eastAsia" w:ascii="ＭＳ ゴシック" w:hAnsi="ＭＳ ゴシック" w:eastAsia="ＭＳ ゴシック"/>
        </w:rPr>
        <w:t xml:space="preserve">4.2 </w:t>
      </w:r>
      <w:r>
        <w:rPr>
          <w:rFonts w:hint="eastAsia" w:ascii="ＭＳ ゴシック" w:hAnsi="ＭＳ ゴシック" w:eastAsia="ＭＳ ゴシック"/>
        </w:rPr>
        <w:t>デジタル人材の確保・育成</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_Toc25538 \h </w:instrText>
      </w:r>
      <w:r>
        <w:rPr>
          <w:rFonts w:hint="eastAsia"/>
        </w:rPr>
        <w:fldChar w:fldCharType="separate"/>
      </w:r>
      <w:r>
        <w:rPr>
          <w:rFonts w:hint="eastAsia" w:ascii="ＭＳ ゴシック" w:hAnsi="ＭＳ ゴシック" w:eastAsia="ＭＳ ゴシック"/>
        </w:rPr>
        <w:t>2</w:t>
      </w:r>
      <w:r>
        <w:rPr>
          <w:rFonts w:hint="eastAsia"/>
        </w:rPr>
        <w:fldChar w:fldCharType="end"/>
      </w:r>
    </w:p>
    <w:p>
      <w:pPr>
        <w:pStyle w:val="22"/>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"_Toc7947"</w:instrText>
      </w:r>
      <w:r>
        <w:rPr>
          <w:rFonts w:hint="eastAsia"/>
        </w:rPr>
        <w:fldChar w:fldCharType="separate"/>
      </w:r>
      <w:r>
        <w:rPr>
          <w:rFonts w:hint="eastAsia" w:ascii="ＭＳ ゴシック" w:hAnsi="ＭＳ ゴシック" w:eastAsia="ＭＳ ゴシック"/>
        </w:rPr>
        <w:t>5. DX</w:t>
      </w:r>
      <w:r>
        <w:rPr>
          <w:rFonts w:hint="eastAsia" w:ascii="ＭＳ ゴシック" w:hAnsi="ＭＳ ゴシック" w:eastAsia="ＭＳ ゴシック"/>
        </w:rPr>
        <w:t>推進方針</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_Toc7947 \h </w:instrText>
      </w:r>
      <w:r>
        <w:rPr>
          <w:rFonts w:hint="eastAsia"/>
        </w:rPr>
        <w:fldChar w:fldCharType="separate"/>
      </w:r>
      <w:r>
        <w:rPr>
          <w:rFonts w:hint="eastAsia" w:ascii="ＭＳ ゴシック" w:hAnsi="ＭＳ ゴシック" w:eastAsia="ＭＳ ゴシック"/>
        </w:rPr>
        <w:t>3</w:t>
      </w:r>
      <w:r>
        <w:rPr>
          <w:rFonts w:hint="eastAsia"/>
        </w:rPr>
        <w:fldChar w:fldCharType="end"/>
      </w:r>
    </w:p>
    <w:p>
      <w:pPr>
        <w:pStyle w:val="21"/>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"_Toc15582"</w:instrText>
      </w:r>
      <w:r>
        <w:rPr>
          <w:rFonts w:hint="eastAsia"/>
        </w:rPr>
        <w:fldChar w:fldCharType="separate"/>
      </w:r>
      <w:r>
        <w:rPr>
          <w:rFonts w:hint="eastAsia" w:ascii="ＭＳ ゴシック" w:hAnsi="ＭＳ ゴシック" w:eastAsia="ＭＳ ゴシック"/>
        </w:rPr>
        <w:t xml:space="preserve">5.1 </w:t>
      </w:r>
      <w:r>
        <w:rPr>
          <w:rFonts w:hint="eastAsia" w:ascii="ＭＳ ゴシック" w:hAnsi="ＭＳ ゴシック" w:eastAsia="ＭＳ ゴシック"/>
        </w:rPr>
        <w:t>全体推進方針</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_Toc15582 \h </w:instrText>
      </w:r>
      <w:r>
        <w:rPr>
          <w:rFonts w:hint="eastAsia"/>
        </w:rPr>
        <w:fldChar w:fldCharType="separate"/>
      </w:r>
      <w:r>
        <w:rPr>
          <w:rFonts w:hint="eastAsia" w:ascii="ＭＳ ゴシック" w:hAnsi="ＭＳ ゴシック" w:eastAsia="ＭＳ ゴシック"/>
        </w:rPr>
        <w:t>3</w:t>
      </w:r>
      <w:r>
        <w:rPr>
          <w:rFonts w:hint="eastAsia"/>
        </w:rPr>
        <w:fldChar w:fldCharType="end"/>
      </w:r>
    </w:p>
    <w:p>
      <w:pPr>
        <w:pStyle w:val="21"/>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"_Toc14028"</w:instrText>
      </w:r>
      <w:r>
        <w:rPr>
          <w:rFonts w:hint="eastAsia"/>
        </w:rPr>
        <w:fldChar w:fldCharType="separate"/>
      </w:r>
      <w:r>
        <w:rPr>
          <w:rFonts w:hint="eastAsia" w:ascii="ＭＳ ゴシック" w:hAnsi="ＭＳ ゴシック" w:eastAsia="ＭＳ ゴシック"/>
        </w:rPr>
        <w:t xml:space="preserve">5.2 </w:t>
      </w:r>
      <w:r>
        <w:rPr>
          <w:rFonts w:hint="eastAsia" w:ascii="ＭＳ ゴシック" w:hAnsi="ＭＳ ゴシック" w:eastAsia="ＭＳ ゴシック"/>
        </w:rPr>
        <w:t>個別推進方針</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_Toc14028 \h </w:instrText>
      </w:r>
      <w:r>
        <w:rPr>
          <w:rFonts w:hint="eastAsia"/>
        </w:rPr>
        <w:fldChar w:fldCharType="separate"/>
      </w:r>
      <w:r>
        <w:rPr>
          <w:rFonts w:hint="eastAsia" w:ascii="ＭＳ ゴシック" w:hAnsi="ＭＳ ゴシック" w:eastAsia="ＭＳ ゴシック"/>
        </w:rPr>
        <w:t>4</w:t>
      </w:r>
      <w:r>
        <w:rPr>
          <w:rFonts w:hint="eastAsia"/>
        </w:rPr>
        <w:fldChar w:fldCharType="end"/>
      </w:r>
    </w:p>
    <w:p>
      <w:pPr>
        <w:pStyle w:val="21"/>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"_Toc18304"</w:instrText>
      </w:r>
      <w:r>
        <w:rPr>
          <w:rFonts w:hint="eastAsia"/>
        </w:rPr>
        <w:fldChar w:fldCharType="separate"/>
      </w:r>
      <w:r>
        <w:rPr>
          <w:rFonts w:hint="eastAsia" w:ascii="ＭＳ ゴシック" w:hAnsi="ＭＳ ゴシック" w:eastAsia="ＭＳ ゴシック"/>
        </w:rPr>
        <w:t>（</w:t>
      </w:r>
      <w:r>
        <w:rPr>
          <w:rFonts w:hint="eastAsia" w:ascii="ＭＳ ゴシック" w:hAnsi="ＭＳ ゴシック" w:eastAsia="ＭＳ ゴシック"/>
        </w:rPr>
        <w:t>1</w:t>
      </w:r>
      <w:r>
        <w:rPr>
          <w:rFonts w:hint="eastAsia" w:ascii="ＭＳ ゴシック" w:hAnsi="ＭＳ ゴシック" w:eastAsia="ＭＳ ゴシック"/>
        </w:rPr>
        <w:t>）「自治体</w:t>
      </w:r>
      <w:r>
        <w:rPr>
          <w:rFonts w:hint="eastAsia" w:ascii="ＭＳ ゴシック" w:hAnsi="ＭＳ ゴシック" w:eastAsia="ＭＳ ゴシック"/>
        </w:rPr>
        <w:t>DX</w:t>
      </w:r>
      <w:r>
        <w:rPr>
          <w:rFonts w:hint="eastAsia" w:ascii="ＭＳ ゴシック" w:hAnsi="ＭＳ ゴシック" w:eastAsia="ＭＳ ゴシック"/>
        </w:rPr>
        <w:t>推進計画」における取組事項</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_Toc18304 \h </w:instrText>
      </w:r>
      <w:r>
        <w:rPr>
          <w:rFonts w:hint="eastAsia"/>
        </w:rPr>
        <w:fldChar w:fldCharType="separate"/>
      </w:r>
      <w:r>
        <w:rPr>
          <w:rFonts w:hint="eastAsia" w:ascii="ＭＳ ゴシック" w:hAnsi="ＭＳ ゴシック" w:eastAsia="ＭＳ ゴシック"/>
        </w:rPr>
        <w:t>4</w:t>
      </w:r>
      <w:r>
        <w:rPr>
          <w:rFonts w:hint="eastAsia"/>
        </w:rPr>
        <w:fldChar w:fldCharType="end"/>
      </w:r>
    </w:p>
    <w:p>
      <w:pPr>
        <w:pStyle w:val="20"/>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"_Toc28638"</w:instrText>
      </w:r>
      <w:r>
        <w:rPr>
          <w:rFonts w:hint="eastAsia"/>
        </w:rPr>
        <w:fldChar w:fldCharType="separate"/>
      </w:r>
      <w:r>
        <w:rPr>
          <w:rFonts w:hint="eastAsia" w:ascii="ＭＳ ゴシック" w:hAnsi="ＭＳ ゴシック" w:eastAsia="ＭＳ ゴシック"/>
        </w:rPr>
        <w:t>【重点取組事項】</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_Toc28638 \h </w:instrText>
      </w:r>
      <w:r>
        <w:rPr>
          <w:rFonts w:hint="eastAsia"/>
        </w:rPr>
        <w:fldChar w:fldCharType="separate"/>
      </w:r>
      <w:r>
        <w:rPr>
          <w:rFonts w:hint="eastAsia" w:ascii="ＭＳ ゴシック" w:hAnsi="ＭＳ ゴシック" w:eastAsia="ＭＳ ゴシック"/>
        </w:rPr>
        <w:t>4</w:t>
      </w:r>
      <w:r>
        <w:rPr>
          <w:rFonts w:hint="eastAsia"/>
        </w:rPr>
        <w:fldChar w:fldCharType="end"/>
      </w:r>
    </w:p>
    <w:p>
      <w:pPr>
        <w:pStyle w:val="20"/>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"_Toc32182"</w:instrText>
      </w:r>
      <w:r>
        <w:rPr>
          <w:rFonts w:hint="eastAsia"/>
        </w:rPr>
        <w:fldChar w:fldCharType="separate"/>
      </w:r>
      <w:r>
        <w:rPr>
          <w:rFonts w:hint="eastAsia" w:ascii="ＭＳ ゴシック" w:hAnsi="ＭＳ ゴシック" w:eastAsia="ＭＳ ゴシック"/>
        </w:rPr>
        <w:t>〇自治体の情報システムの標準化・共通化</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_Toc32182 \h </w:instrText>
      </w:r>
      <w:r>
        <w:rPr>
          <w:rFonts w:hint="eastAsia"/>
        </w:rPr>
        <w:fldChar w:fldCharType="separate"/>
      </w:r>
      <w:r>
        <w:rPr>
          <w:rFonts w:hint="eastAsia" w:ascii="ＭＳ ゴシック" w:hAnsi="ＭＳ ゴシック" w:eastAsia="ＭＳ ゴシック"/>
        </w:rPr>
        <w:t>4</w:t>
      </w:r>
      <w:r>
        <w:rPr>
          <w:rFonts w:hint="eastAsia"/>
        </w:rPr>
        <w:fldChar w:fldCharType="end"/>
      </w:r>
    </w:p>
    <w:p>
      <w:pPr>
        <w:pStyle w:val="20"/>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"_Toc14685"</w:instrText>
      </w:r>
      <w:r>
        <w:rPr>
          <w:rFonts w:hint="eastAsia"/>
        </w:rPr>
        <w:fldChar w:fldCharType="separate"/>
      </w:r>
      <w:r>
        <w:rPr>
          <w:rFonts w:hint="eastAsia" w:ascii="ＭＳ ゴシック" w:hAnsi="ＭＳ ゴシック" w:eastAsia="ＭＳ ゴシック"/>
        </w:rPr>
        <w:t>〇マイナンバーカードの普及促進・利活用</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_Toc14685 \h </w:instrText>
      </w:r>
      <w:r>
        <w:rPr>
          <w:rFonts w:hint="eastAsia"/>
        </w:rPr>
        <w:fldChar w:fldCharType="separate"/>
      </w:r>
      <w:r>
        <w:rPr>
          <w:rFonts w:hint="eastAsia" w:ascii="ＭＳ ゴシック" w:hAnsi="ＭＳ ゴシック" w:eastAsia="ＭＳ ゴシック"/>
        </w:rPr>
        <w:t>4</w:t>
      </w:r>
      <w:r>
        <w:rPr>
          <w:rFonts w:hint="eastAsia"/>
        </w:rPr>
        <w:fldChar w:fldCharType="end"/>
      </w:r>
    </w:p>
    <w:p>
      <w:pPr>
        <w:pStyle w:val="20"/>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"_Toc27315"</w:instrText>
      </w:r>
      <w:r>
        <w:rPr>
          <w:rFonts w:hint="eastAsia"/>
        </w:rPr>
        <w:fldChar w:fldCharType="separate"/>
      </w:r>
      <w:r>
        <w:rPr>
          <w:rFonts w:hint="eastAsia" w:ascii="ＭＳ ゴシック" w:hAnsi="ＭＳ ゴシック" w:eastAsia="ＭＳ ゴシック"/>
        </w:rPr>
        <w:t>〇行政手続のオンライン化</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_Toc27315 \h </w:instrText>
      </w:r>
      <w:r>
        <w:rPr>
          <w:rFonts w:hint="eastAsia"/>
        </w:rPr>
        <w:fldChar w:fldCharType="separate"/>
      </w:r>
      <w:r>
        <w:rPr>
          <w:rFonts w:hint="eastAsia" w:ascii="ＭＳ ゴシック" w:hAnsi="ＭＳ ゴシック" w:eastAsia="ＭＳ ゴシック"/>
        </w:rPr>
        <w:t>4</w:t>
      </w:r>
      <w:r>
        <w:rPr>
          <w:rFonts w:hint="eastAsia"/>
        </w:rPr>
        <w:fldChar w:fldCharType="end"/>
      </w:r>
    </w:p>
    <w:p>
      <w:pPr>
        <w:pStyle w:val="20"/>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"_Toc22276"</w:instrText>
      </w:r>
      <w:r>
        <w:rPr>
          <w:rFonts w:hint="eastAsia"/>
        </w:rPr>
        <w:fldChar w:fldCharType="separate"/>
      </w:r>
      <w:r>
        <w:rPr>
          <w:rFonts w:hint="eastAsia" w:ascii="ＭＳ ゴシック" w:hAnsi="ＭＳ ゴシック" w:eastAsia="ＭＳ ゴシック"/>
        </w:rPr>
        <w:t>〇</w:t>
      </w:r>
      <w:r>
        <w:rPr>
          <w:rFonts w:hint="eastAsia" w:ascii="ＭＳ ゴシック" w:hAnsi="ＭＳ ゴシック" w:eastAsia="ＭＳ ゴシック"/>
        </w:rPr>
        <w:t>AI</w:t>
      </w:r>
      <w:r>
        <w:rPr>
          <w:rFonts w:hint="eastAsia" w:ascii="ＭＳ ゴシック" w:hAnsi="ＭＳ ゴシック" w:eastAsia="ＭＳ ゴシック"/>
        </w:rPr>
        <w:t>・</w:t>
      </w:r>
      <w:r>
        <w:rPr>
          <w:rFonts w:hint="eastAsia" w:ascii="ＭＳ ゴシック" w:hAnsi="ＭＳ ゴシック" w:eastAsia="ＭＳ ゴシック"/>
        </w:rPr>
        <w:t>RPA</w:t>
      </w:r>
      <w:r>
        <w:rPr>
          <w:rFonts w:hint="eastAsia" w:ascii="ＭＳ ゴシック" w:hAnsi="ＭＳ ゴシック" w:eastAsia="ＭＳ ゴシック"/>
        </w:rPr>
        <w:t>の利用推進</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_Toc22276 \h </w:instrText>
      </w:r>
      <w:r>
        <w:rPr>
          <w:rFonts w:hint="eastAsia"/>
        </w:rPr>
        <w:fldChar w:fldCharType="separate"/>
      </w:r>
      <w:r>
        <w:rPr>
          <w:rFonts w:hint="eastAsia" w:ascii="ＭＳ ゴシック" w:hAnsi="ＭＳ ゴシック" w:eastAsia="ＭＳ ゴシック"/>
        </w:rPr>
        <w:t>4</w:t>
      </w:r>
      <w:r>
        <w:rPr>
          <w:rFonts w:hint="eastAsia"/>
        </w:rPr>
        <w:fldChar w:fldCharType="end"/>
      </w:r>
    </w:p>
    <w:p>
      <w:pPr>
        <w:pStyle w:val="20"/>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"_Toc18821"</w:instrText>
      </w:r>
      <w:r>
        <w:rPr>
          <w:rFonts w:hint="eastAsia"/>
        </w:rPr>
        <w:fldChar w:fldCharType="separate"/>
      </w:r>
      <w:r>
        <w:rPr>
          <w:rFonts w:hint="eastAsia" w:ascii="ＭＳ ゴシック" w:hAnsi="ＭＳ ゴシック" w:eastAsia="ＭＳ ゴシック"/>
        </w:rPr>
        <w:t>〇テレワークの推進</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_Toc18821 \h </w:instrText>
      </w:r>
      <w:r>
        <w:rPr>
          <w:rFonts w:hint="eastAsia"/>
        </w:rPr>
        <w:fldChar w:fldCharType="separate"/>
      </w:r>
      <w:r>
        <w:rPr>
          <w:rFonts w:hint="eastAsia" w:ascii="ＭＳ ゴシック" w:hAnsi="ＭＳ ゴシック" w:eastAsia="ＭＳ ゴシック"/>
        </w:rPr>
        <w:t>4</w:t>
      </w:r>
      <w:r>
        <w:rPr>
          <w:rFonts w:hint="eastAsia"/>
        </w:rPr>
        <w:fldChar w:fldCharType="end"/>
      </w:r>
    </w:p>
    <w:p>
      <w:pPr>
        <w:pStyle w:val="20"/>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"_Toc25169"</w:instrText>
      </w:r>
      <w:r>
        <w:rPr>
          <w:rFonts w:hint="eastAsia"/>
        </w:rPr>
        <w:fldChar w:fldCharType="separate"/>
      </w:r>
      <w:r>
        <w:rPr>
          <w:rFonts w:hint="eastAsia" w:ascii="ＭＳ ゴシック" w:hAnsi="ＭＳ ゴシック" w:eastAsia="ＭＳ ゴシック"/>
        </w:rPr>
        <w:t>〇セキュリティ対策の徹底</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_Toc25169 \h </w:instrText>
      </w:r>
      <w:r>
        <w:rPr>
          <w:rFonts w:hint="eastAsia"/>
        </w:rPr>
        <w:fldChar w:fldCharType="separate"/>
      </w:r>
      <w:r>
        <w:rPr>
          <w:rFonts w:hint="eastAsia" w:ascii="ＭＳ ゴシック" w:hAnsi="ＭＳ ゴシック" w:eastAsia="ＭＳ ゴシック"/>
        </w:rPr>
        <w:t>4</w:t>
      </w:r>
      <w:r>
        <w:rPr>
          <w:rFonts w:hint="eastAsia"/>
        </w:rPr>
        <w:fldChar w:fldCharType="end"/>
      </w:r>
    </w:p>
    <w:p>
      <w:pPr>
        <w:pStyle w:val="20"/>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"_Toc17139"</w:instrText>
      </w:r>
      <w:r>
        <w:rPr>
          <w:rFonts w:hint="eastAsia"/>
        </w:rPr>
        <w:fldChar w:fldCharType="separate"/>
      </w:r>
      <w:r>
        <w:rPr>
          <w:rFonts w:hint="eastAsia" w:ascii="ＭＳ ゴシック" w:hAnsi="ＭＳ ゴシック" w:eastAsia="ＭＳ ゴシック"/>
        </w:rPr>
        <w:t>【自治体</w:t>
      </w:r>
      <w:r>
        <w:rPr>
          <w:rFonts w:hint="eastAsia" w:ascii="ＭＳ ゴシック" w:hAnsi="ＭＳ ゴシック" w:eastAsia="ＭＳ ゴシック"/>
        </w:rPr>
        <w:t>DX</w:t>
      </w:r>
      <w:r>
        <w:rPr>
          <w:rFonts w:hint="eastAsia" w:ascii="ＭＳ ゴシック" w:hAnsi="ＭＳ ゴシック" w:eastAsia="ＭＳ ゴシック"/>
        </w:rPr>
        <w:t>の取組みとあわせて取り組むべき事項】</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_Toc17139 \h </w:instrText>
      </w:r>
      <w:r>
        <w:rPr>
          <w:rFonts w:hint="eastAsia"/>
        </w:rPr>
        <w:fldChar w:fldCharType="separate"/>
      </w:r>
      <w:r>
        <w:rPr>
          <w:rFonts w:hint="eastAsia" w:ascii="ＭＳ ゴシック" w:hAnsi="ＭＳ ゴシック" w:eastAsia="ＭＳ ゴシック"/>
        </w:rPr>
        <w:t>5</w:t>
      </w:r>
      <w:r>
        <w:rPr>
          <w:rFonts w:hint="eastAsia"/>
        </w:rPr>
        <w:fldChar w:fldCharType="end"/>
      </w:r>
    </w:p>
    <w:p>
      <w:pPr>
        <w:pStyle w:val="20"/>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"_Toc27691"</w:instrText>
      </w:r>
      <w:r>
        <w:rPr>
          <w:rFonts w:hint="eastAsia"/>
        </w:rPr>
        <w:fldChar w:fldCharType="separate"/>
      </w:r>
      <w:r>
        <w:rPr>
          <w:rFonts w:hint="eastAsia" w:ascii="ＭＳ ゴシック" w:hAnsi="ＭＳ ゴシック" w:eastAsia="ＭＳ ゴシック"/>
        </w:rPr>
        <w:t>〇地域社会のデジタル化</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_Toc27691 \h </w:instrText>
      </w:r>
      <w:r>
        <w:rPr>
          <w:rFonts w:hint="eastAsia"/>
        </w:rPr>
        <w:fldChar w:fldCharType="separate"/>
      </w:r>
      <w:r>
        <w:rPr>
          <w:rFonts w:hint="eastAsia" w:ascii="ＭＳ ゴシック" w:hAnsi="ＭＳ ゴシック" w:eastAsia="ＭＳ ゴシック"/>
        </w:rPr>
        <w:t>5</w:t>
      </w:r>
      <w:r>
        <w:rPr>
          <w:rFonts w:hint="eastAsia"/>
        </w:rPr>
        <w:fldChar w:fldCharType="end"/>
      </w:r>
    </w:p>
    <w:p>
      <w:pPr>
        <w:pStyle w:val="20"/>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"_Toc27283"</w:instrText>
      </w:r>
      <w:r>
        <w:rPr>
          <w:rFonts w:hint="eastAsia"/>
        </w:rPr>
        <w:fldChar w:fldCharType="separate"/>
      </w:r>
      <w:r>
        <w:rPr>
          <w:rFonts w:hint="eastAsia" w:ascii="ＭＳ ゴシック" w:hAnsi="ＭＳ ゴシック" w:eastAsia="ＭＳ ゴシック"/>
        </w:rPr>
        <w:t>〇デジタルデバイド対策</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_Toc27283 \h </w:instrText>
      </w:r>
      <w:r>
        <w:rPr>
          <w:rFonts w:hint="eastAsia"/>
        </w:rPr>
        <w:fldChar w:fldCharType="separate"/>
      </w:r>
      <w:r>
        <w:rPr>
          <w:rFonts w:hint="eastAsia" w:ascii="ＭＳ ゴシック" w:hAnsi="ＭＳ ゴシック" w:eastAsia="ＭＳ ゴシック"/>
        </w:rPr>
        <w:t>5</w:t>
      </w:r>
      <w:r>
        <w:rPr>
          <w:rFonts w:hint="eastAsia"/>
        </w:rPr>
        <w:fldChar w:fldCharType="end"/>
      </w:r>
    </w:p>
    <w:p>
      <w:pPr>
        <w:pStyle w:val="20"/>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"_Toc11997"</w:instrText>
      </w:r>
      <w:r>
        <w:rPr>
          <w:rFonts w:hint="eastAsia"/>
        </w:rPr>
        <w:fldChar w:fldCharType="separate"/>
      </w:r>
      <w:r>
        <w:rPr>
          <w:rFonts w:hint="eastAsia" w:ascii="ＭＳ ゴシック" w:hAnsi="ＭＳ ゴシック" w:eastAsia="ＭＳ ゴシック"/>
        </w:rPr>
        <w:t>【その他】</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_Toc11997 \h </w:instrText>
      </w:r>
      <w:r>
        <w:rPr>
          <w:rFonts w:hint="eastAsia"/>
        </w:rPr>
        <w:fldChar w:fldCharType="separate"/>
      </w:r>
      <w:r>
        <w:rPr>
          <w:rFonts w:hint="eastAsia" w:ascii="ＭＳ ゴシック" w:hAnsi="ＭＳ ゴシック" w:eastAsia="ＭＳ ゴシック"/>
        </w:rPr>
        <w:t>5</w:t>
      </w:r>
      <w:r>
        <w:rPr>
          <w:rFonts w:hint="eastAsia"/>
        </w:rPr>
        <w:fldChar w:fldCharType="end"/>
      </w:r>
    </w:p>
    <w:p>
      <w:pPr>
        <w:pStyle w:val="20"/>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"_Toc23148"</w:instrText>
      </w:r>
      <w:r>
        <w:rPr>
          <w:rFonts w:hint="eastAsia"/>
        </w:rPr>
        <w:fldChar w:fldCharType="separate"/>
      </w:r>
      <w:r>
        <w:rPr>
          <w:rFonts w:hint="eastAsia" w:ascii="ＭＳ ゴシック" w:hAnsi="ＭＳ ゴシック" w:eastAsia="ＭＳ ゴシック"/>
        </w:rPr>
        <w:t>〇</w:t>
      </w:r>
      <w:r>
        <w:rPr>
          <w:rFonts w:hint="eastAsia" w:ascii="ＭＳ ゴシック" w:hAnsi="ＭＳ ゴシック" w:eastAsia="ＭＳ ゴシック"/>
        </w:rPr>
        <w:t>BPR</w:t>
      </w:r>
      <w:r>
        <w:rPr>
          <w:rFonts w:hint="eastAsia" w:ascii="ＭＳ ゴシック" w:hAnsi="ＭＳ ゴシック" w:eastAsia="ＭＳ ゴシック"/>
        </w:rPr>
        <w:t>の取組みの徹底＜書面・押印・対面の見直し関係＞</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_Toc23148 \h </w:instrText>
      </w:r>
      <w:r>
        <w:rPr>
          <w:rFonts w:hint="eastAsia"/>
        </w:rPr>
        <w:fldChar w:fldCharType="separate"/>
      </w:r>
      <w:r>
        <w:rPr>
          <w:rFonts w:hint="eastAsia" w:ascii="ＭＳ ゴシック" w:hAnsi="ＭＳ ゴシック" w:eastAsia="ＭＳ ゴシック"/>
        </w:rPr>
        <w:t>5</w:t>
      </w:r>
      <w:r>
        <w:rPr>
          <w:rFonts w:hint="eastAsia"/>
        </w:rPr>
        <w:fldChar w:fldCharType="end"/>
      </w:r>
    </w:p>
    <w:p>
      <w:pPr>
        <w:pStyle w:val="20"/>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"_Toc2474"</w:instrText>
      </w:r>
      <w:r>
        <w:rPr>
          <w:rFonts w:hint="eastAsia"/>
        </w:rPr>
        <w:fldChar w:fldCharType="separate"/>
      </w:r>
      <w:r>
        <w:rPr>
          <w:rFonts w:hint="eastAsia" w:ascii="ＭＳ ゴシック" w:hAnsi="ＭＳ ゴシック" w:eastAsia="ＭＳ ゴシック"/>
        </w:rPr>
        <w:t>〇オープンデータの推進</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_Toc2474 \h </w:instrText>
      </w:r>
      <w:r>
        <w:rPr>
          <w:rFonts w:hint="eastAsia"/>
        </w:rPr>
        <w:fldChar w:fldCharType="separate"/>
      </w:r>
      <w:r>
        <w:rPr>
          <w:rFonts w:hint="eastAsia" w:ascii="ＭＳ ゴシック" w:hAnsi="ＭＳ ゴシック" w:eastAsia="ＭＳ ゴシック"/>
        </w:rPr>
        <w:t>5</w:t>
      </w:r>
      <w:r>
        <w:rPr>
          <w:rFonts w:hint="eastAsia"/>
        </w:rPr>
        <w:fldChar w:fldCharType="end"/>
      </w:r>
    </w:p>
    <w:p>
      <w:pPr>
        <w:pStyle w:val="20"/>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"_Toc21669"</w:instrText>
      </w:r>
      <w:r>
        <w:rPr>
          <w:rFonts w:hint="eastAsia"/>
        </w:rPr>
        <w:fldChar w:fldCharType="separate"/>
      </w:r>
      <w:r>
        <w:rPr>
          <w:rFonts w:hint="eastAsia" w:ascii="ＭＳ ゴシック" w:hAnsi="ＭＳ ゴシック" w:eastAsia="ＭＳ ゴシック"/>
        </w:rPr>
        <w:t>〇官民データ活用推進計画策定の推進</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_Toc21669 \h </w:instrText>
      </w:r>
      <w:r>
        <w:rPr>
          <w:rFonts w:hint="eastAsia"/>
        </w:rPr>
        <w:fldChar w:fldCharType="separate"/>
      </w:r>
      <w:r>
        <w:rPr>
          <w:rFonts w:hint="eastAsia" w:ascii="ＭＳ ゴシック" w:hAnsi="ＭＳ ゴシック" w:eastAsia="ＭＳ ゴシック"/>
        </w:rPr>
        <w:t>5</w:t>
      </w:r>
      <w:r>
        <w:rPr>
          <w:rFonts w:hint="eastAsia"/>
        </w:rPr>
        <w:fldChar w:fldCharType="end"/>
      </w:r>
    </w:p>
    <w:p>
      <w:pPr>
        <w:pStyle w:val="21"/>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"_Toc24130"</w:instrText>
      </w:r>
      <w:r>
        <w:rPr>
          <w:rFonts w:hint="eastAsia"/>
        </w:rPr>
        <w:fldChar w:fldCharType="separate"/>
      </w:r>
      <w:r>
        <w:rPr>
          <w:rFonts w:hint="eastAsia" w:ascii="ＭＳ ゴシック" w:hAnsi="ＭＳ ゴシック" w:eastAsia="ＭＳ ゴシック"/>
        </w:rPr>
        <w:t>（</w:t>
      </w:r>
      <w:r>
        <w:rPr>
          <w:rFonts w:hint="eastAsia" w:ascii="ＭＳ ゴシック" w:hAnsi="ＭＳ ゴシック" w:eastAsia="ＭＳ ゴシック"/>
        </w:rPr>
        <w:t>2</w:t>
      </w:r>
      <w:r>
        <w:rPr>
          <w:rFonts w:hint="eastAsia" w:ascii="ＭＳ ゴシック" w:hAnsi="ＭＳ ゴシック" w:eastAsia="ＭＳ ゴシック"/>
        </w:rPr>
        <w:t>）利便性の向上と質の高い住民サービスの提供</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_Toc24130 \h </w:instrText>
      </w:r>
      <w:r>
        <w:rPr>
          <w:rFonts w:hint="eastAsia"/>
        </w:rPr>
        <w:fldChar w:fldCharType="separate"/>
      </w:r>
      <w:r>
        <w:rPr>
          <w:rFonts w:hint="eastAsia" w:ascii="ＭＳ ゴシック" w:hAnsi="ＭＳ ゴシック" w:eastAsia="ＭＳ ゴシック"/>
        </w:rPr>
        <w:t>5</w:t>
      </w:r>
      <w:r>
        <w:rPr>
          <w:rFonts w:hint="eastAsia"/>
        </w:rPr>
        <w:fldChar w:fldCharType="end"/>
      </w:r>
    </w:p>
    <w:p>
      <w:pPr>
        <w:pStyle w:val="20"/>
        <w:tabs>
          <w:tab w:val="left" w:leader="none" w:pos="3360"/>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"_Toc25516"</w:instrText>
      </w:r>
      <w:r>
        <w:rPr>
          <w:rFonts w:hint="eastAsia"/>
        </w:rPr>
        <w:fldChar w:fldCharType="separate"/>
      </w:r>
      <w:r>
        <w:rPr>
          <w:rFonts w:hint="eastAsia" w:ascii="ＭＳ ゴシック" w:hAnsi="ＭＳ ゴシック" w:eastAsia="ＭＳ ゴシック"/>
        </w:rPr>
        <w:t>〇窓口手続きへの</w:t>
      </w:r>
      <w:r>
        <w:rPr>
          <w:rFonts w:hint="eastAsia" w:ascii="ＭＳ ゴシック" w:hAnsi="ＭＳ ゴシック" w:eastAsia="ＭＳ ゴシック"/>
        </w:rPr>
        <w:t>ICT</w:t>
      </w:r>
      <w:r>
        <w:rPr>
          <w:rFonts w:hint="eastAsia" w:ascii="ＭＳ ゴシック" w:hAnsi="ＭＳ ゴシック" w:eastAsia="ＭＳ ゴシック"/>
        </w:rPr>
        <w:t>導入</w:t>
      </w:r>
      <w:r>
        <w:rPr>
          <w:rFonts w:hint="eastAsia" w:ascii="ＭＳ ゴシック" w:hAnsi="ＭＳ ゴシック" w:eastAsia="ＭＳ ゴシック"/>
        </w:rPr>
        <w:tab/>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_Toc25516 \h </w:instrText>
      </w:r>
      <w:r>
        <w:rPr>
          <w:rFonts w:hint="eastAsia"/>
        </w:rPr>
        <w:fldChar w:fldCharType="separate"/>
      </w:r>
      <w:r>
        <w:rPr>
          <w:rFonts w:hint="eastAsia" w:ascii="ＭＳ ゴシック" w:hAnsi="ＭＳ ゴシック" w:eastAsia="ＭＳ ゴシック"/>
        </w:rPr>
        <w:t>5</w:t>
      </w:r>
      <w:r>
        <w:rPr>
          <w:rFonts w:hint="eastAsia"/>
        </w:rPr>
        <w:fldChar w:fldCharType="end"/>
      </w:r>
    </w:p>
    <w:p>
      <w:pPr>
        <w:pStyle w:val="20"/>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"_Toc1757"</w:instrText>
      </w:r>
      <w:r>
        <w:rPr>
          <w:rFonts w:hint="eastAsia"/>
        </w:rPr>
        <w:fldChar w:fldCharType="separate"/>
      </w:r>
      <w:r>
        <w:rPr>
          <w:rFonts w:hint="eastAsia" w:ascii="ＭＳ ゴシック" w:hAnsi="ＭＳ ゴシック" w:eastAsia="ＭＳ ゴシック"/>
        </w:rPr>
        <w:t>〇</w:t>
      </w:r>
      <w:r>
        <w:rPr>
          <w:rFonts w:hint="eastAsia" w:ascii="ＭＳ ゴシック" w:hAnsi="ＭＳ ゴシック" w:eastAsia="ＭＳ ゴシック"/>
        </w:rPr>
        <w:t>ICT</w:t>
      </w:r>
      <w:r>
        <w:rPr>
          <w:rFonts w:hint="eastAsia" w:ascii="ＭＳ ゴシック" w:hAnsi="ＭＳ ゴシック" w:eastAsia="ＭＳ ゴシック"/>
        </w:rPr>
        <w:t>を活用した公共施設サービス・管理</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_Toc1757 \h </w:instrText>
      </w:r>
      <w:r>
        <w:rPr>
          <w:rFonts w:hint="eastAsia"/>
        </w:rPr>
        <w:fldChar w:fldCharType="separate"/>
      </w:r>
      <w:r>
        <w:rPr>
          <w:rFonts w:hint="eastAsia" w:ascii="ＭＳ ゴシック" w:hAnsi="ＭＳ ゴシック" w:eastAsia="ＭＳ ゴシック"/>
        </w:rPr>
        <w:t>5</w:t>
      </w:r>
      <w:r>
        <w:rPr>
          <w:rFonts w:hint="eastAsia"/>
        </w:rPr>
        <w:fldChar w:fldCharType="end"/>
      </w:r>
    </w:p>
    <w:p>
      <w:pPr>
        <w:pStyle w:val="20"/>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"_Toc29808"</w:instrText>
      </w:r>
      <w:r>
        <w:rPr>
          <w:rFonts w:hint="eastAsia"/>
        </w:rPr>
        <w:fldChar w:fldCharType="separate"/>
      </w:r>
      <w:r>
        <w:rPr>
          <w:rFonts w:hint="eastAsia" w:ascii="ＭＳ ゴシック" w:hAnsi="ＭＳ ゴシック" w:eastAsia="ＭＳ ゴシック"/>
        </w:rPr>
        <w:t>〇公共料金キャッシュレス化（施設使用料、税・手数料等）</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_Toc29808 \h </w:instrText>
      </w:r>
      <w:r>
        <w:rPr>
          <w:rFonts w:hint="eastAsia"/>
        </w:rPr>
        <w:fldChar w:fldCharType="separate"/>
      </w:r>
      <w:r>
        <w:rPr>
          <w:rFonts w:hint="eastAsia" w:ascii="ＭＳ ゴシック" w:hAnsi="ＭＳ ゴシック" w:eastAsia="ＭＳ ゴシック"/>
        </w:rPr>
        <w:t>5</w:t>
      </w:r>
      <w:r>
        <w:rPr>
          <w:rFonts w:hint="eastAsia"/>
        </w:rPr>
        <w:fldChar w:fldCharType="end"/>
      </w:r>
    </w:p>
    <w:p>
      <w:pPr>
        <w:pStyle w:val="20"/>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"_Toc4594"</w:instrText>
      </w:r>
      <w:r>
        <w:rPr>
          <w:rFonts w:hint="eastAsia"/>
        </w:rPr>
        <w:fldChar w:fldCharType="separate"/>
      </w:r>
      <w:r>
        <w:rPr>
          <w:rFonts w:hint="eastAsia" w:ascii="ＭＳ ゴシック" w:hAnsi="ＭＳ ゴシック" w:eastAsia="ＭＳ ゴシック"/>
        </w:rPr>
        <w:t>〇</w:t>
      </w:r>
      <w:r>
        <w:rPr>
          <w:rFonts w:hint="eastAsia" w:ascii="ＭＳ ゴシック" w:hAnsi="ＭＳ ゴシック" w:eastAsia="ＭＳ ゴシック"/>
        </w:rPr>
        <w:t>SNS</w:t>
      </w:r>
      <w:r>
        <w:rPr>
          <w:rFonts w:hint="eastAsia" w:ascii="ＭＳ ゴシック" w:hAnsi="ＭＳ ゴシック" w:eastAsia="ＭＳ ゴシック"/>
        </w:rPr>
        <w:t>等を活用した市民と行政の情報共有</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_Toc4594 \h </w:instrText>
      </w:r>
      <w:r>
        <w:rPr>
          <w:rFonts w:hint="eastAsia"/>
        </w:rPr>
        <w:fldChar w:fldCharType="separate"/>
      </w:r>
      <w:r>
        <w:rPr>
          <w:rFonts w:hint="eastAsia" w:ascii="ＭＳ ゴシック" w:hAnsi="ＭＳ ゴシック" w:eastAsia="ＭＳ ゴシック"/>
        </w:rPr>
        <w:t>5</w:t>
      </w:r>
      <w:r>
        <w:rPr>
          <w:rFonts w:hint="eastAsia"/>
        </w:rPr>
        <w:fldChar w:fldCharType="end"/>
      </w:r>
    </w:p>
    <w:p>
      <w:pPr>
        <w:pStyle w:val="21"/>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"_Toc941"</w:instrText>
      </w:r>
      <w:r>
        <w:rPr>
          <w:rFonts w:hint="eastAsia"/>
        </w:rPr>
        <w:fldChar w:fldCharType="separate"/>
      </w:r>
      <w:r>
        <w:rPr>
          <w:rFonts w:hint="eastAsia" w:ascii="ＭＳ ゴシック" w:hAnsi="ＭＳ ゴシック" w:eastAsia="ＭＳ ゴシック"/>
        </w:rPr>
        <w:t>（</w:t>
      </w:r>
      <w:r>
        <w:rPr>
          <w:rFonts w:hint="eastAsia" w:ascii="ＭＳ ゴシック" w:hAnsi="ＭＳ ゴシック" w:eastAsia="ＭＳ ゴシック"/>
        </w:rPr>
        <w:t>3</w:t>
      </w:r>
      <w:r>
        <w:rPr>
          <w:rFonts w:hint="eastAsia" w:ascii="ＭＳ ゴシック" w:hAnsi="ＭＳ ゴシック" w:eastAsia="ＭＳ ゴシック"/>
        </w:rPr>
        <w:t>）効率的・効果的な行政運営</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_Toc941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0"/>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"_Toc6377"</w:instrText>
      </w:r>
      <w:r>
        <w:rPr>
          <w:rFonts w:hint="eastAsia"/>
        </w:rPr>
        <w:fldChar w:fldCharType="separate"/>
      </w:r>
      <w:r>
        <w:rPr>
          <w:rFonts w:hint="eastAsia" w:ascii="ＭＳ ゴシック" w:hAnsi="ＭＳ ゴシック" w:eastAsia="ＭＳ ゴシック"/>
        </w:rPr>
        <w:t>〇電子決裁の推進・ペーパーレス化</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_Toc6377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0"/>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"_Toc32348"</w:instrText>
      </w:r>
      <w:r>
        <w:rPr>
          <w:rFonts w:hint="eastAsia"/>
        </w:rPr>
        <w:fldChar w:fldCharType="separate"/>
      </w:r>
      <w:r>
        <w:rPr>
          <w:rFonts w:hint="eastAsia" w:ascii="ＭＳ ゴシック" w:hAnsi="ＭＳ ゴシック" w:eastAsia="ＭＳ ゴシック"/>
        </w:rPr>
        <w:t>〇ペーパーレス会議の推進</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_Toc32348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0"/>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"_Toc28996"</w:instrText>
      </w:r>
      <w:r>
        <w:rPr>
          <w:rFonts w:hint="eastAsia"/>
        </w:rPr>
        <w:fldChar w:fldCharType="separate"/>
      </w:r>
      <w:r>
        <w:rPr>
          <w:rFonts w:hint="eastAsia" w:ascii="ＭＳ ゴシック" w:hAnsi="ＭＳ ゴシック" w:eastAsia="ＭＳ ゴシック"/>
        </w:rPr>
        <w:t>〇電子契約の導入</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_Toc28996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0"/>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"_Toc14008"</w:instrText>
      </w:r>
      <w:r>
        <w:rPr>
          <w:rFonts w:hint="eastAsia"/>
        </w:rPr>
        <w:fldChar w:fldCharType="separate"/>
      </w:r>
      <w:r>
        <w:rPr>
          <w:rFonts w:hint="eastAsia" w:ascii="ＭＳ ゴシック" w:hAnsi="ＭＳ ゴシック" w:eastAsia="ＭＳ ゴシック"/>
        </w:rPr>
        <w:t>〇職員のリテラシー向上及びその他</w:t>
      </w:r>
      <w:r>
        <w:rPr>
          <w:rFonts w:hint="eastAsia" w:ascii="ＭＳ ゴシック" w:hAnsi="ＭＳ ゴシック" w:eastAsia="ＭＳ ゴシック"/>
        </w:rPr>
        <w:t>ICT</w:t>
      </w:r>
      <w:r>
        <w:rPr>
          <w:rFonts w:hint="eastAsia" w:ascii="ＭＳ ゴシック" w:hAnsi="ＭＳ ゴシック" w:eastAsia="ＭＳ ゴシック"/>
        </w:rPr>
        <w:t>利活用の調査・研究</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_Toc14008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1"/>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"_Toc13319"</w:instrText>
      </w:r>
      <w:r>
        <w:rPr>
          <w:rFonts w:hint="eastAsia"/>
        </w:rPr>
        <w:fldChar w:fldCharType="separate"/>
      </w:r>
      <w:r>
        <w:rPr>
          <w:rFonts w:hint="eastAsia" w:ascii="ＭＳ ゴシック" w:hAnsi="ＭＳ ゴシック" w:eastAsia="ＭＳ ゴシック"/>
        </w:rPr>
        <w:t>（</w:t>
      </w:r>
      <w:r>
        <w:rPr>
          <w:rFonts w:hint="eastAsia" w:ascii="ＭＳ ゴシック" w:hAnsi="ＭＳ ゴシック" w:eastAsia="ＭＳ ゴシック"/>
        </w:rPr>
        <w:t>4</w:t>
      </w:r>
      <w:r>
        <w:rPr>
          <w:rFonts w:hint="eastAsia" w:ascii="ＭＳ ゴシック" w:hAnsi="ＭＳ ゴシック" w:eastAsia="ＭＳ ゴシック"/>
        </w:rPr>
        <w:t>）地域課題の解決</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_Toc13319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0"/>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"_Toc6791"</w:instrText>
      </w:r>
      <w:r>
        <w:rPr>
          <w:rFonts w:hint="eastAsia"/>
        </w:rPr>
        <w:fldChar w:fldCharType="separate"/>
      </w:r>
      <w:r>
        <w:rPr>
          <w:rFonts w:hint="eastAsia" w:ascii="ＭＳ ゴシック" w:hAnsi="ＭＳ ゴシック" w:eastAsia="ＭＳ ゴシック"/>
        </w:rPr>
        <w:t>〇公衆</w:t>
      </w:r>
      <w:r>
        <w:rPr>
          <w:rFonts w:hint="eastAsia" w:ascii="ＭＳ ゴシック" w:hAnsi="ＭＳ ゴシック" w:eastAsia="ＭＳ ゴシック"/>
        </w:rPr>
        <w:t>wi-fi</w:t>
      </w:r>
      <w:r>
        <w:rPr>
          <w:rFonts w:hint="eastAsia" w:ascii="ＭＳ ゴシック" w:hAnsi="ＭＳ ゴシック" w:eastAsia="ＭＳ ゴシック"/>
        </w:rPr>
        <w:t>設置</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_Toc6791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0"/>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"_Toc13675"</w:instrText>
      </w:r>
      <w:r>
        <w:rPr>
          <w:rFonts w:hint="eastAsia"/>
        </w:rPr>
        <w:fldChar w:fldCharType="separate"/>
      </w:r>
      <w:r>
        <w:rPr>
          <w:rFonts w:hint="eastAsia" w:ascii="ＭＳ ゴシック" w:hAnsi="ＭＳ ゴシック" w:eastAsia="ＭＳ ゴシック"/>
        </w:rPr>
        <w:t>〇ローカル</w:t>
      </w:r>
      <w:r>
        <w:rPr>
          <w:rFonts w:hint="eastAsia" w:ascii="ＭＳ ゴシック" w:hAnsi="ＭＳ ゴシック" w:eastAsia="ＭＳ ゴシック"/>
        </w:rPr>
        <w:t>5G</w:t>
      </w:r>
      <w:r>
        <w:rPr>
          <w:rFonts w:hint="eastAsia" w:ascii="ＭＳ ゴシック" w:hAnsi="ＭＳ ゴシック" w:eastAsia="ＭＳ ゴシック"/>
        </w:rPr>
        <w:t>活用</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_Toc13675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0"/>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"_Toc31875"</w:instrText>
      </w:r>
      <w:r>
        <w:rPr>
          <w:rFonts w:hint="eastAsia"/>
        </w:rPr>
        <w:fldChar w:fldCharType="separate"/>
      </w:r>
      <w:r>
        <w:rPr>
          <w:rFonts w:hint="eastAsia" w:ascii="ＭＳ ゴシック" w:hAnsi="ＭＳ ゴシック" w:eastAsia="ＭＳ ゴシック"/>
        </w:rPr>
        <w:t>〇ドローン活用</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_Toc31875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2"/>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"_Toc5920"</w:instrText>
      </w:r>
      <w:r>
        <w:rPr>
          <w:rFonts w:hint="eastAsia"/>
        </w:rPr>
        <w:fldChar w:fldCharType="separate"/>
      </w:r>
      <w:r>
        <w:rPr>
          <w:rFonts w:hint="eastAsia" w:ascii="ＭＳ ゴシック" w:hAnsi="ＭＳ ゴシック" w:eastAsia="ＭＳ ゴシック"/>
        </w:rPr>
        <w:t xml:space="preserve">6. </w:t>
      </w:r>
      <w:r>
        <w:rPr>
          <w:rFonts w:hint="eastAsia" w:ascii="ＭＳ ゴシック" w:hAnsi="ＭＳ ゴシック" w:eastAsia="ＭＳ ゴシック"/>
        </w:rPr>
        <w:t>作業工程</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_Toc5920 \h </w:instrText>
      </w:r>
      <w:r>
        <w:rPr>
          <w:rFonts w:hint="eastAsia"/>
        </w:rPr>
        <w:fldChar w:fldCharType="separate"/>
      </w:r>
      <w:r>
        <w:rPr>
          <w:rFonts w:hint="eastAsia" w:ascii="ＭＳ ゴシック" w:hAnsi="ＭＳ ゴシック" w:eastAsia="ＭＳ ゴシック"/>
        </w:rPr>
        <w:t>7</w:t>
      </w:r>
      <w:r>
        <w:rPr>
          <w:rFonts w:hint="eastAsia"/>
        </w:rPr>
        <w:fldChar w:fldCharType="end"/>
      </w:r>
    </w:p>
    <w:p>
      <w:pPr>
        <w:pStyle w:val="22"/>
        <w:tabs>
          <w:tab w:val="right" w:leader="dot" w:pos="9746"/>
        </w:tabs>
        <w:spacing w:line="320" w:lineRule="exact"/>
        <w:rPr>
          <w:rFonts w:hint="eastAsia" w:ascii="ＭＳ ゴシック" w:hAnsi="ＭＳ ゴシック" w:eastAsia="ＭＳ ゴシック"/>
        </w:rPr>
      </w:pPr>
      <w:r>
        <w:rPr>
          <w:rFonts w:hint="eastAsia"/>
        </w:rPr>
        <w:fldChar w:fldCharType="begin"/>
      </w:r>
      <w:r>
        <w:rPr>
          <w:rFonts w:hint="eastAsia"/>
        </w:rPr>
        <w:instrText xml:space="preserve"> HYPERLINK  \l "_Toc4621"</w:instrText>
      </w:r>
      <w:r>
        <w:rPr>
          <w:rFonts w:hint="eastAsia"/>
        </w:rPr>
        <w:fldChar w:fldCharType="separate"/>
      </w:r>
      <w:r>
        <w:rPr>
          <w:rFonts w:hint="eastAsia" w:ascii="ＭＳ ゴシック" w:hAnsi="ＭＳ ゴシック" w:eastAsia="ＭＳ ゴシック"/>
        </w:rPr>
        <w:t>【用語集】</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_Toc4621 \h </w:instrText>
      </w:r>
      <w:r>
        <w:rPr>
          <w:rFonts w:hint="eastAsia"/>
        </w:rPr>
        <w:fldChar w:fldCharType="separate"/>
      </w:r>
      <w:r>
        <w:rPr>
          <w:rFonts w:hint="eastAsia" w:ascii="ＭＳ ゴシック" w:hAnsi="ＭＳ ゴシック" w:eastAsia="ＭＳ ゴシック"/>
        </w:rPr>
        <w:t>9</w:t>
      </w:r>
      <w:r>
        <w:rPr>
          <w:rFonts w:hint="eastAsia"/>
        </w:rPr>
        <w:fldChar w:fldCharType="end"/>
      </w:r>
    </w:p>
    <w:p>
      <w:pPr>
        <w:pStyle w:val="21"/>
        <w:tabs>
          <w:tab w:val="right" w:leader="dot" w:pos="9746"/>
        </w:tabs>
        <w:spacing w:line="320" w:lineRule="exact"/>
        <w:rPr>
          <w:rFonts w:hint="eastAsia" w:ascii="ＭＳ ゴシック" w:hAnsi="ＭＳ ゴシック" w:eastAsia="ＭＳ ゴシック"/>
        </w:rPr>
      </w:pPr>
      <w:r>
        <w:rPr>
          <w:rFonts w:hint="eastAsia"/>
        </w:rPr>
        <w:fldChar w:fldCharType="end"/>
      </w:r>
    </w:p>
    <w:p>
      <w:pPr>
        <w:pStyle w:val="0"/>
        <w:outlineLvl w:val="0"/>
        <w:rPr>
          <w:rFonts w:hint="eastAsia" w:ascii="ＭＳ ゴシック" w:hAnsi="ＭＳ ゴシック" w:eastAsia="ＭＳ ゴシック"/>
          <w:sz w:val="28"/>
          <w:u w:val="single" w:color="auto"/>
        </w:rPr>
        <w:sectPr>
          <w:footerReference r:id="rId6" w:type="even"/>
          <w:footerReference r:id="rId5" w:type="first"/>
          <w:type w:val="continuous"/>
          <w:pgSz w:w="11906" w:h="16838"/>
          <w:pgMar w:top="1134" w:right="1080" w:bottom="1134" w:left="1080" w:header="851" w:footer="567" w:gutter="0"/>
          <w:pgBorders w:zOrder="front" w:display="allPages" w:offsetFrom="page"/>
          <w:cols w:space="720"/>
          <w:textDirection w:val="lrTb"/>
          <w:docGrid w:type="lines" w:linePitch="360"/>
        </w:sectPr>
      </w:pPr>
      <w:bookmarkStart w:id="12" w:name="_Toc12263"/>
      <w:bookmarkStart w:id="13" w:name="_Toc12462"/>
      <w:bookmarkStart w:id="14" w:name="_Toc22971"/>
      <w:bookmarkStart w:id="15" w:name="_Toc24540"/>
      <w:bookmarkStart w:id="16" w:name="_Toc28558"/>
      <w:bookmarkStart w:id="17" w:name="_Toc29474"/>
      <w:bookmarkStart w:id="18" w:name="_Toc31372"/>
      <w:bookmarkStart w:id="19" w:name="_Toc3862"/>
    </w:p>
    <w:p>
      <w:pPr>
        <w:pStyle w:val="0"/>
        <w:outlineLvl w:val="0"/>
        <w:rPr>
          <w:rFonts w:hint="eastAsia" w:ascii="ＭＳ ゴシック" w:hAnsi="ＭＳ ゴシック" w:eastAsia="ＭＳ ゴシック"/>
          <w:color w:val="auto"/>
        </w:rPr>
      </w:pPr>
      <w:bookmarkStart w:id="20" w:name="_Toc12641"/>
      <w:bookmarkStart w:id="21" w:name="_Toc22652"/>
      <w:bookmarkStart w:id="22" w:name="_Toc32507"/>
      <w:bookmarkStart w:id="23" w:name="_Toc387"/>
      <w:bookmarkStart w:id="24" w:name="_Toc5885"/>
      <w:bookmarkStart w:id="25" w:name="_Toc592"/>
      <w:r>
        <w:rPr>
          <w:rFonts w:hint="eastAsia" w:ascii="ＭＳ ゴシック" w:hAnsi="ＭＳ ゴシック" w:eastAsia="ＭＳ ゴシック"/>
          <w:color w:val="auto"/>
          <w:sz w:val="28"/>
          <w:u w:val="single" w:color="auto"/>
        </w:rPr>
        <w:t xml:space="preserve">1. </w:t>
      </w:r>
      <w:r>
        <w:rPr>
          <w:rFonts w:hint="eastAsia" w:ascii="ＭＳ ゴシック" w:hAnsi="ＭＳ ゴシック" w:eastAsia="ＭＳ ゴシック"/>
          <w:color w:val="auto"/>
          <w:sz w:val="28"/>
          <w:u w:val="single" w:color="auto"/>
        </w:rPr>
        <w:t>はじめに</w:t>
      </w:r>
      <w:bookmarkEnd w:id="12"/>
      <w:bookmarkEnd w:id="13"/>
      <w:bookmarkEnd w:id="20"/>
      <w:bookmarkEnd w:id="21"/>
      <w:bookmarkEnd w:id="14"/>
      <w:bookmarkEnd w:id="15"/>
      <w:bookmarkEnd w:id="16"/>
      <w:bookmarkEnd w:id="17"/>
      <w:bookmarkEnd w:id="18"/>
      <w:bookmarkEnd w:id="22"/>
      <w:bookmarkEnd w:id="19"/>
      <w:bookmarkEnd w:id="23"/>
      <w:bookmarkEnd w:id="24"/>
      <w:bookmarkEnd w:id="25"/>
    </w:p>
    <w:p>
      <w:pPr>
        <w:pStyle w:val="0"/>
        <w:ind w:firstLine="210"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国は、行政のデジタル化の集中改革を強力に推進するため、マイナンバー制度と国・地方を通じたデジタル基盤の在り方を含め、抜本的な改善を図るとして、「デジタル・ガバメント実行計画」（</w:t>
      </w:r>
      <w:r>
        <w:rPr>
          <w:rFonts w:hint="eastAsia" w:ascii="ＭＳ ゴシック" w:hAnsi="ＭＳ ゴシック" w:eastAsia="ＭＳ ゴシック"/>
          <w:color w:val="auto"/>
          <w:sz w:val="22"/>
        </w:rPr>
        <w:t>2020</w:t>
      </w:r>
      <w:r>
        <w:rPr>
          <w:rFonts w:hint="eastAsia" w:ascii="ＭＳ ゴシック" w:hAnsi="ＭＳ ゴシック" w:eastAsia="ＭＳ ゴシック"/>
          <w:color w:val="auto"/>
          <w:sz w:val="22"/>
        </w:rPr>
        <w:t>年</w:t>
      </w:r>
      <w:r>
        <w:rPr>
          <w:rFonts w:hint="eastAsia" w:ascii="ＭＳ ゴシック" w:hAnsi="ＭＳ ゴシック" w:eastAsia="ＭＳ ゴシック"/>
          <w:color w:val="auto"/>
          <w:sz w:val="22"/>
        </w:rPr>
        <w:t>12</w:t>
      </w:r>
      <w:r>
        <w:rPr>
          <w:rFonts w:hint="eastAsia" w:ascii="ＭＳ ゴシック" w:hAnsi="ＭＳ ゴシック" w:eastAsia="ＭＳ ゴシック"/>
          <w:color w:val="auto"/>
          <w:sz w:val="22"/>
        </w:rPr>
        <w:t>月</w:t>
      </w:r>
      <w:r>
        <w:rPr>
          <w:rFonts w:hint="eastAsia" w:ascii="ＭＳ ゴシック" w:hAnsi="ＭＳ ゴシック" w:eastAsia="ＭＳ ゴシック"/>
          <w:color w:val="auto"/>
          <w:sz w:val="22"/>
        </w:rPr>
        <w:t>25</w:t>
      </w:r>
      <w:r>
        <w:rPr>
          <w:rFonts w:hint="eastAsia" w:ascii="ＭＳ ゴシック" w:hAnsi="ＭＳ ゴシック" w:eastAsia="ＭＳ ゴシック"/>
          <w:color w:val="auto"/>
          <w:sz w:val="22"/>
        </w:rPr>
        <w:t>日閣議決定）において、自治体に関連する多くの施策を盛り込んでいます。</w:t>
      </w:r>
    </w:p>
    <w:p>
      <w:pPr>
        <w:pStyle w:val="0"/>
        <w:ind w:firstLine="210"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こうした情報システムの標準化・共通化や行政手続きのオンライン化といった自治体における施策を効果的に実行していくため、総務省は、「デジタル・ガバメント実行計画」における各施策について、自治体が重点的に取り組むべき事項・内容を具体化するとともに、「自治体デジタル・トランスフォーメーション（</w:t>
      </w:r>
      <w:r>
        <w:rPr>
          <w:rFonts w:hint="eastAsia" w:ascii="ＭＳ ゴシック" w:hAnsi="ＭＳ ゴシック" w:eastAsia="ＭＳ ゴシック"/>
          <w:color w:val="auto"/>
          <w:sz w:val="22"/>
        </w:rPr>
        <w:t>DX</w:t>
      </w:r>
      <w:r>
        <w:rPr>
          <w:rFonts w:hint="eastAsia" w:ascii="ＭＳ ゴシック" w:hAnsi="ＭＳ ゴシック" w:eastAsia="ＭＳ ゴシック"/>
          <w:color w:val="auto"/>
          <w:sz w:val="22"/>
        </w:rPr>
        <w:t>）推進計画」（令和</w:t>
      </w:r>
      <w:r>
        <w:rPr>
          <w:rFonts w:hint="eastAsia" w:ascii="ＭＳ ゴシック" w:hAnsi="ＭＳ ゴシック" w:eastAsia="ＭＳ ゴシック"/>
          <w:color w:val="auto"/>
          <w:sz w:val="22"/>
        </w:rPr>
        <w:t>2</w:t>
      </w:r>
      <w:r>
        <w:rPr>
          <w:rFonts w:hint="eastAsia" w:ascii="ＭＳ ゴシック" w:hAnsi="ＭＳ ゴシック" w:eastAsia="ＭＳ ゴシック"/>
          <w:color w:val="auto"/>
          <w:sz w:val="22"/>
        </w:rPr>
        <w:t>年</w:t>
      </w:r>
      <w:r>
        <w:rPr>
          <w:rFonts w:hint="eastAsia" w:ascii="ＭＳ ゴシック" w:hAnsi="ＭＳ ゴシック" w:eastAsia="ＭＳ ゴシック"/>
          <w:color w:val="auto"/>
          <w:sz w:val="22"/>
        </w:rPr>
        <w:t>12</w:t>
      </w:r>
      <w:r>
        <w:rPr>
          <w:rFonts w:hint="eastAsia" w:ascii="ＭＳ ゴシック" w:hAnsi="ＭＳ ゴシック" w:eastAsia="ＭＳ ゴシック"/>
          <w:color w:val="auto"/>
          <w:sz w:val="22"/>
        </w:rPr>
        <w:t>月</w:t>
      </w:r>
      <w:r>
        <w:rPr>
          <w:rFonts w:hint="eastAsia" w:ascii="ＭＳ ゴシック" w:hAnsi="ＭＳ ゴシック" w:eastAsia="ＭＳ ゴシック"/>
          <w:color w:val="auto"/>
          <w:sz w:val="22"/>
        </w:rPr>
        <w:t>25</w:t>
      </w:r>
      <w:r>
        <w:rPr>
          <w:rFonts w:hint="eastAsia" w:ascii="ＭＳ ゴシック" w:hAnsi="ＭＳ ゴシック" w:eastAsia="ＭＳ ゴシック"/>
          <w:color w:val="auto"/>
          <w:sz w:val="22"/>
        </w:rPr>
        <w:t>日総務省）を策定し、デジタル社会の構築に向けた取組みを全自治体において着実に進めていくこととしています。</w:t>
      </w:r>
    </w:p>
    <w:p>
      <w:pPr>
        <w:pStyle w:val="0"/>
        <w:ind w:firstLine="210" w:firstLineChars="100"/>
        <w:rPr>
          <w:rFonts w:hint="eastAsia" w:ascii="ＭＳ ゴシック" w:hAnsi="ＭＳ ゴシック" w:eastAsia="ＭＳ ゴシック"/>
          <w:color w:val="auto"/>
        </w:rPr>
      </w:pPr>
      <w:r>
        <w:rPr>
          <w:rFonts w:hint="eastAsia" w:ascii="ＭＳ ゴシック" w:hAnsi="ＭＳ ゴシック" w:eastAsia="ＭＳ ゴシック"/>
          <w:color w:val="auto"/>
          <w:sz w:val="22"/>
        </w:rPr>
        <w:t>本市におきましても、「日向市</w:t>
      </w:r>
      <w:r>
        <w:rPr>
          <w:rFonts w:hint="eastAsia" w:ascii="ＭＳ ゴシック" w:hAnsi="ＭＳ ゴシック" w:eastAsia="ＭＳ ゴシック"/>
          <w:color w:val="auto"/>
          <w:sz w:val="22"/>
        </w:rPr>
        <w:t>DX</w:t>
      </w:r>
      <w:r>
        <w:rPr>
          <w:rFonts w:hint="eastAsia" w:ascii="ＭＳ ゴシック" w:hAnsi="ＭＳ ゴシック" w:eastAsia="ＭＳ ゴシック"/>
          <w:color w:val="auto"/>
          <w:sz w:val="22"/>
        </w:rPr>
        <w:t>推進計画」を策定し、積極的かつ効果的なデジタル技術を活用した施策を推進することにより、更なる住民サービスの向上や職員の業務効率化を図ることとします。</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outlineLvl w:val="0"/>
        <w:rPr>
          <w:rFonts w:hint="eastAsia" w:ascii="ＭＳ ゴシック" w:hAnsi="ＭＳ ゴシック" w:eastAsia="ＭＳ ゴシック"/>
          <w:color w:val="auto"/>
        </w:rPr>
      </w:pPr>
      <w:bookmarkStart w:id="26" w:name="_Toc17860"/>
      <w:bookmarkStart w:id="27" w:name="_Toc18433"/>
      <w:bookmarkStart w:id="28" w:name="_Toc19378"/>
      <w:bookmarkStart w:id="29" w:name="_Toc23232"/>
      <w:bookmarkStart w:id="30" w:name="_Toc23333"/>
      <w:bookmarkStart w:id="31" w:name="_Toc24578"/>
      <w:bookmarkStart w:id="32" w:name="_Toc6287"/>
      <w:bookmarkStart w:id="33" w:name="_Toc7204"/>
      <w:r>
        <w:rPr>
          <w:rFonts w:hint="eastAsia" w:ascii="ＭＳ ゴシック" w:hAnsi="ＭＳ ゴシック" w:eastAsia="ＭＳ ゴシック"/>
          <w:color w:val="auto"/>
          <w:sz w:val="28"/>
          <w:u w:val="single" w:color="auto"/>
        </w:rPr>
        <w:t>2. DX</w:t>
      </w:r>
      <w:r>
        <w:rPr>
          <w:rFonts w:hint="eastAsia" w:ascii="ＭＳ ゴシック" w:hAnsi="ＭＳ ゴシック" w:eastAsia="ＭＳ ゴシック"/>
          <w:color w:val="auto"/>
          <w:sz w:val="28"/>
          <w:u w:val="single" w:color="auto"/>
        </w:rPr>
        <w:t>推進による本市の将来像</w:t>
      </w:r>
      <w:bookmarkEnd w:id="26"/>
      <w:bookmarkEnd w:id="27"/>
      <w:bookmarkEnd w:id="28"/>
      <w:bookmarkEnd w:id="29"/>
      <w:bookmarkEnd w:id="30"/>
      <w:bookmarkEnd w:id="31"/>
      <w:bookmarkEnd w:id="32"/>
      <w:bookmarkEnd w:id="33"/>
    </w:p>
    <w:p>
      <w:pPr>
        <w:pStyle w:val="0"/>
        <w:ind w:firstLine="220" w:firstLineChars="100"/>
        <w:outlineLvl w:val="9"/>
        <w:rPr>
          <w:rFonts w:hint="eastAsia" w:ascii="ＭＳ ゴシック" w:hAnsi="ＭＳ ゴシック" w:eastAsia="ＭＳ ゴシック"/>
          <w:color w:val="auto"/>
        </w:rPr>
      </w:pPr>
      <w:bookmarkStart w:id="34" w:name="_Toc12923"/>
      <w:r>
        <w:rPr>
          <w:rFonts w:hint="eastAsia" w:ascii="ＭＳ ゴシック" w:hAnsi="ＭＳ ゴシック" w:eastAsia="ＭＳ ゴシック"/>
          <w:color w:val="auto"/>
          <w:sz w:val="22"/>
          <w:u w:val="none" w:color="auto"/>
          <w:shd w:val="clear" w:color="auto" w:fill="auto"/>
        </w:rPr>
        <w:t>本計画における</w:t>
      </w:r>
      <w:r>
        <w:rPr>
          <w:rFonts w:hint="eastAsia" w:ascii="ＭＳ ゴシック" w:hAnsi="ＭＳ ゴシック" w:eastAsia="ＭＳ ゴシック"/>
          <w:color w:val="auto"/>
          <w:sz w:val="22"/>
          <w:u w:val="none" w:color="auto"/>
          <w:shd w:val="clear" w:color="auto" w:fill="auto"/>
        </w:rPr>
        <w:t>DX</w:t>
      </w:r>
      <w:r>
        <w:rPr>
          <w:rFonts w:hint="eastAsia" w:ascii="ＭＳ ゴシック" w:hAnsi="ＭＳ ゴシック" w:eastAsia="ＭＳ ゴシック"/>
          <w:color w:val="auto"/>
          <w:sz w:val="22"/>
          <w:u w:val="none" w:color="auto"/>
          <w:shd w:val="clear" w:color="auto" w:fill="auto"/>
        </w:rPr>
        <w:t>推進により、次のような将来像の実現を図ります。</w:t>
      </w:r>
      <w:bookmarkEnd w:id="34"/>
    </w:p>
    <w:p>
      <w:pPr>
        <w:pStyle w:val="0"/>
        <w:ind w:firstLine="220" w:firstLineChars="100"/>
        <w:outlineLvl w:val="9"/>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〇住民サービス</w:t>
      </w:r>
    </w:p>
    <w:p>
      <w:pPr>
        <w:pStyle w:val="0"/>
        <w:ind w:left="660" w:hanging="660" w:hangingChars="300"/>
        <w:outlineLvl w:val="9"/>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・市役所の窓口でしかできなかった各種申請や施設予約などの行政手続について、スマート</w:t>
      </w:r>
    </w:p>
    <w:p>
      <w:pPr>
        <w:pStyle w:val="0"/>
        <w:ind w:left="630" w:leftChars="300" w:firstLine="0" w:firstLineChars="0"/>
        <w:outlineLvl w:val="9"/>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フォンなどを利用していつでもどこからでもインターネット上で手続きすることができます。</w:t>
      </w:r>
    </w:p>
    <w:p>
      <w:pPr>
        <w:pStyle w:val="0"/>
        <w:ind w:left="640" w:leftChars="200" w:hanging="220" w:hangingChars="100"/>
        <w:outlineLvl w:val="9"/>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・税や手数料、使用料などの公共料金を</w:t>
      </w:r>
      <w:r>
        <w:rPr>
          <w:rFonts w:hint="eastAsia" w:ascii="ＭＳ ゴシック" w:hAnsi="ＭＳ ゴシック" w:eastAsia="ＭＳ ゴシック"/>
          <w:color w:val="auto"/>
          <w:sz w:val="22"/>
        </w:rPr>
        <w:t>QR</w:t>
      </w:r>
      <w:r>
        <w:rPr>
          <w:rFonts w:hint="eastAsia" w:ascii="ＭＳ ゴシック" w:hAnsi="ＭＳ ゴシック" w:eastAsia="ＭＳ ゴシック"/>
          <w:color w:val="auto"/>
          <w:sz w:val="22"/>
        </w:rPr>
        <w:t>コードや電子マネーなどによりキャッシュレスで支払うことが可能になり、現金を使用せずにオンラインでスムーズに支払いができます。</w:t>
      </w:r>
    </w:p>
    <w:p>
      <w:pPr>
        <w:pStyle w:val="0"/>
        <w:ind w:left="640" w:leftChars="200" w:hanging="220" w:hangingChars="100"/>
        <w:outlineLvl w:val="9"/>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・市民と行政間の通知や相談など、必要な時にいつでも</w:t>
      </w:r>
      <w:r>
        <w:rPr>
          <w:rFonts w:hint="eastAsia" w:ascii="ＭＳ ゴシック" w:hAnsi="ＭＳ ゴシック" w:eastAsia="ＭＳ ゴシック"/>
          <w:color w:val="auto"/>
          <w:sz w:val="22"/>
        </w:rPr>
        <w:t>SNS</w:t>
      </w:r>
      <w:r>
        <w:rPr>
          <w:rFonts w:hint="eastAsia" w:ascii="ＭＳ ゴシック" w:hAnsi="ＭＳ ゴシック" w:eastAsia="ＭＳ ゴシック"/>
          <w:color w:val="auto"/>
          <w:sz w:val="22"/>
        </w:rPr>
        <w:t>等を利用して簡単にコミュニケーションがとれるようになります。</w:t>
      </w:r>
    </w:p>
    <w:p>
      <w:pPr>
        <w:pStyle w:val="0"/>
        <w:ind w:left="640" w:leftChars="200" w:hanging="220" w:hangingChars="100"/>
        <w:outlineLvl w:val="9"/>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・集合型のイベントや会議、対面形式の面接・相談などは、オンラインでの開催が増え、会場へ行かずにどこからでも参加することができます。</w:t>
      </w:r>
    </w:p>
    <w:p>
      <w:pPr>
        <w:pStyle w:val="0"/>
        <w:ind w:left="640" w:leftChars="200" w:hanging="220" w:hangingChars="100"/>
        <w:outlineLvl w:val="9"/>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・オンラインで多様な住民の意見を集め、議論を集約し、政策に結びつけていきます。</w:t>
      </w:r>
    </w:p>
    <w:p>
      <w:pPr>
        <w:pStyle w:val="0"/>
        <w:ind w:firstLine="220" w:firstLineChars="100"/>
        <w:outlineLvl w:val="9"/>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〇職員の働き方</w:t>
      </w:r>
    </w:p>
    <w:p>
      <w:pPr>
        <w:pStyle w:val="0"/>
        <w:ind w:left="660" w:hanging="660" w:hangingChars="300"/>
        <w:outlineLvl w:val="9"/>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・税や福祉、住民情報などの基幹システムを国のクラウド環境を利用した標準化仕様に対応することで、法改正などによるシステムのメンテナンス作業の軽減や費用抑止が実現します。</w:t>
      </w:r>
    </w:p>
    <w:p>
      <w:pPr>
        <w:pStyle w:val="0"/>
        <w:ind w:left="660" w:hanging="660" w:hangingChars="300"/>
        <w:outlineLvl w:val="9"/>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・入力などの単純作業等の</w:t>
      </w:r>
      <w:r>
        <w:rPr>
          <w:rFonts w:hint="eastAsia" w:ascii="ＭＳ ゴシック" w:hAnsi="ＭＳ ゴシック" w:eastAsia="ＭＳ ゴシック"/>
          <w:color w:val="auto"/>
          <w:sz w:val="22"/>
        </w:rPr>
        <w:t>RPA</w:t>
      </w:r>
      <w:r>
        <w:rPr>
          <w:rFonts w:hint="eastAsia" w:ascii="ＭＳ ゴシック" w:hAnsi="ＭＳ ゴシック" w:eastAsia="ＭＳ ゴシック"/>
          <w:color w:val="auto"/>
          <w:sz w:val="22"/>
        </w:rPr>
        <w:t>化や高度な判断業務の</w:t>
      </w:r>
      <w:r>
        <w:rPr>
          <w:rFonts w:hint="eastAsia" w:ascii="ＭＳ ゴシック" w:hAnsi="ＭＳ ゴシック" w:eastAsia="ＭＳ ゴシック"/>
          <w:color w:val="auto"/>
          <w:sz w:val="22"/>
        </w:rPr>
        <w:t>AI</w:t>
      </w:r>
      <w:r>
        <w:rPr>
          <w:rFonts w:hint="eastAsia" w:ascii="ＭＳ ゴシック" w:hAnsi="ＭＳ ゴシック" w:eastAsia="ＭＳ ゴシック"/>
          <w:color w:val="auto"/>
          <w:sz w:val="22"/>
        </w:rPr>
        <w:t>活用により、職員の作業時間が削減し効率化され、人にしかできない業務に労力をシフトすることで、</w:t>
      </w:r>
      <w:r>
        <w:rPr>
          <w:rFonts w:hint="eastAsia" w:ascii="ＭＳ ゴシック" w:hAnsi="ＭＳ ゴシック" w:eastAsia="ＭＳ ゴシック"/>
          <w:color w:val="auto"/>
          <w:sz w:val="22"/>
        </w:rPr>
        <w:t>2040</w:t>
      </w:r>
      <w:r>
        <w:rPr>
          <w:rFonts w:hint="eastAsia" w:ascii="ＭＳ ゴシック" w:hAnsi="ＭＳ ゴシック" w:eastAsia="ＭＳ ゴシック"/>
          <w:color w:val="auto"/>
          <w:sz w:val="22"/>
        </w:rPr>
        <w:t>年問題（人口減少による職員不足）に対応します。</w:t>
      </w:r>
    </w:p>
    <w:p>
      <w:pPr>
        <w:pStyle w:val="0"/>
        <w:ind w:left="0" w:leftChars="0" w:hanging="660" w:hangingChars="300"/>
        <w:outlineLvl w:val="9"/>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・ペーパーレスが推進され、電子決裁やテレワーク、</w:t>
      </w:r>
      <w:r>
        <w:rPr>
          <w:rFonts w:hint="eastAsia" w:ascii="ＭＳ ゴシック" w:hAnsi="ＭＳ ゴシック" w:eastAsia="ＭＳ ゴシック"/>
          <w:color w:val="auto"/>
          <w:sz w:val="22"/>
        </w:rPr>
        <w:t>WEB</w:t>
      </w:r>
      <w:r>
        <w:rPr>
          <w:rFonts w:hint="eastAsia" w:ascii="ＭＳ ゴシック" w:hAnsi="ＭＳ ゴシック" w:eastAsia="ＭＳ ゴシック"/>
          <w:color w:val="auto"/>
          <w:sz w:val="22"/>
        </w:rPr>
        <w:t>会議などを活用した時間や場所を限定しない効率的で働きやすい環境で業務に従事することができます。</w:t>
      </w:r>
    </w:p>
    <w:p>
      <w:pPr>
        <w:pStyle w:val="0"/>
        <w:ind w:left="0" w:leftChars="0" w:hanging="660" w:hangingChars="300"/>
        <w:outlineLvl w:val="9"/>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・時代に即した様々な情報セキュリティ対策や職員研修等による職員のリテラシー向上により、住民情報の流出防止の徹底など、デジタル技術を効果的かつ安全に活用することができます。</w:t>
      </w:r>
    </w:p>
    <w:p>
      <w:pPr>
        <w:pStyle w:val="0"/>
        <w:ind w:firstLine="220" w:firstLineChars="100"/>
        <w:outlineLvl w:val="9"/>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〇地域のデジタル化</w:t>
      </w:r>
    </w:p>
    <w:p>
      <w:pPr>
        <w:pStyle w:val="0"/>
        <w:outlineLvl w:val="9"/>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・公共施設の公衆</w:t>
      </w:r>
      <w:r>
        <w:rPr>
          <w:rFonts w:hint="eastAsia" w:ascii="ＭＳ ゴシック" w:hAnsi="ＭＳ ゴシック" w:eastAsia="ＭＳ ゴシック"/>
          <w:color w:val="auto"/>
          <w:sz w:val="22"/>
        </w:rPr>
        <w:t>wi-fi</w:t>
      </w:r>
      <w:r>
        <w:rPr>
          <w:rFonts w:hint="eastAsia" w:ascii="ＭＳ ゴシック" w:hAnsi="ＭＳ ゴシック" w:eastAsia="ＭＳ ゴシック"/>
          <w:color w:val="auto"/>
          <w:sz w:val="22"/>
        </w:rPr>
        <w:t>を利用し、自宅以外でも情報検索や動画視聴、ネットショッピングな</w:t>
      </w:r>
    </w:p>
    <w:p>
      <w:pPr>
        <w:pStyle w:val="0"/>
        <w:ind w:firstLine="660" w:firstLineChars="300"/>
        <w:outlineLvl w:val="9"/>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ど各種</w:t>
      </w:r>
      <w:r>
        <w:rPr>
          <w:rFonts w:hint="eastAsia" w:ascii="ＭＳ ゴシック" w:hAnsi="ＭＳ ゴシック" w:eastAsia="ＭＳ ゴシック"/>
          <w:color w:val="auto"/>
          <w:sz w:val="22"/>
        </w:rPr>
        <w:t>WEB</w:t>
      </w:r>
      <w:r>
        <w:rPr>
          <w:rFonts w:hint="eastAsia" w:ascii="ＭＳ ゴシック" w:hAnsi="ＭＳ ゴシック" w:eastAsia="ＭＳ ゴシック"/>
          <w:color w:val="auto"/>
          <w:sz w:val="22"/>
        </w:rPr>
        <w:t>サービス等をいつでもどこでも利用することができます。</w:t>
      </w:r>
    </w:p>
    <w:p>
      <w:pPr>
        <w:pStyle w:val="0"/>
        <w:ind w:left="660" w:hanging="660" w:hangingChars="300"/>
        <w:outlineLvl w:val="9"/>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・遠隔地での監視や高所作業をはじめ、これまで人間の労力だけでは困難であった様々な課題をローカル</w:t>
      </w:r>
      <w:r>
        <w:rPr>
          <w:rFonts w:hint="eastAsia" w:ascii="ＭＳ ゴシック" w:hAnsi="ＭＳ ゴシック" w:eastAsia="ＭＳ ゴシック"/>
          <w:color w:val="auto"/>
          <w:sz w:val="22"/>
        </w:rPr>
        <w:t>5G</w:t>
      </w:r>
      <w:r>
        <w:rPr>
          <w:rFonts w:hint="eastAsia" w:ascii="ＭＳ ゴシック" w:hAnsi="ＭＳ ゴシック" w:eastAsia="ＭＳ ゴシック"/>
          <w:color w:val="auto"/>
          <w:sz w:val="22"/>
        </w:rPr>
        <w:t>や</w:t>
      </w:r>
      <w:r>
        <w:rPr>
          <w:rFonts w:hint="eastAsia" w:ascii="ＭＳ ゴシック" w:hAnsi="ＭＳ ゴシック" w:eastAsia="ＭＳ ゴシック"/>
          <w:color w:val="auto"/>
          <w:sz w:val="22"/>
        </w:rPr>
        <w:t>IoT</w:t>
      </w:r>
      <w:r>
        <w:rPr>
          <w:rFonts w:hint="eastAsia" w:ascii="ＭＳ ゴシック" w:hAnsi="ＭＳ ゴシック" w:eastAsia="ＭＳ ゴシック"/>
          <w:color w:val="auto"/>
          <w:sz w:val="22"/>
        </w:rPr>
        <w:t>機器、ドローン等の活用により解決することができます。</w:t>
      </w:r>
    </w:p>
    <w:p>
      <w:pPr>
        <w:pStyle w:val="0"/>
        <w:ind w:left="660" w:hanging="660" w:hangingChars="300"/>
        <w:outlineLvl w:val="9"/>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・その他、デジタル技術とデータを利活用した、誰もが快適で活力に満ちた質の高い生活を送ることのできる</w:t>
      </w:r>
      <w:r>
        <w:rPr>
          <w:rFonts w:hint="eastAsia" w:ascii="ＭＳ ゴシック" w:hAnsi="ＭＳ ゴシック" w:eastAsia="ＭＳ ゴシック"/>
          <w:color w:val="auto"/>
          <w:sz w:val="22"/>
        </w:rPr>
        <w:t>Society5.0</w:t>
      </w:r>
      <w:r>
        <w:rPr>
          <w:rFonts w:hint="eastAsia" w:ascii="ＭＳ ゴシック" w:hAnsi="ＭＳ ゴシック" w:eastAsia="ＭＳ ゴシック"/>
          <w:color w:val="auto"/>
          <w:sz w:val="22"/>
        </w:rPr>
        <w:t>社会の実現に向けて、先端技術に関する情報収集・研究を進めます。</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outlineLvl w:val="0"/>
        <w:rPr>
          <w:rFonts w:hint="eastAsia" w:ascii="ＭＳ ゴシック" w:hAnsi="ＭＳ ゴシック" w:eastAsia="ＭＳ ゴシック"/>
          <w:color w:val="auto"/>
        </w:rPr>
      </w:pPr>
      <w:bookmarkStart w:id="35" w:name="_Toc14293"/>
      <w:bookmarkStart w:id="36" w:name="_Toc14586"/>
      <w:bookmarkStart w:id="37" w:name="_Toc15714"/>
      <w:bookmarkStart w:id="38" w:name="_Toc17778"/>
      <w:bookmarkStart w:id="39" w:name="_Toc19470"/>
      <w:bookmarkStart w:id="40" w:name="_Toc22376"/>
      <w:bookmarkStart w:id="41" w:name="_Toc25008"/>
      <w:bookmarkStart w:id="42" w:name="_Toc25680"/>
      <w:bookmarkStart w:id="43" w:name="_Toc26887"/>
      <w:bookmarkStart w:id="44" w:name="_Toc27191"/>
      <w:bookmarkStart w:id="45" w:name="_Toc27279"/>
      <w:bookmarkStart w:id="46" w:name="_Toc32240"/>
      <w:bookmarkStart w:id="47" w:name="_Toc3235"/>
      <w:bookmarkStart w:id="48" w:name="_Toc4871"/>
      <w:r>
        <w:rPr>
          <w:rFonts w:hint="eastAsia" w:ascii="ＭＳ ゴシック" w:hAnsi="ＭＳ ゴシック" w:eastAsia="ＭＳ ゴシック"/>
          <w:color w:val="auto"/>
          <w:sz w:val="28"/>
          <w:u w:val="single" w:color="auto"/>
        </w:rPr>
        <w:t xml:space="preserve">3. </w:t>
      </w:r>
      <w:r>
        <w:rPr>
          <w:rFonts w:hint="eastAsia" w:ascii="ＭＳ ゴシック" w:hAnsi="ＭＳ ゴシック" w:eastAsia="ＭＳ ゴシック"/>
          <w:color w:val="auto"/>
          <w:sz w:val="28"/>
          <w:u w:val="single" w:color="auto"/>
        </w:rPr>
        <w:t>本計画の対象期間</w:t>
      </w:r>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0"/>
        <w:ind w:firstLine="210"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令和</w:t>
      </w:r>
      <w:r>
        <w:rPr>
          <w:rFonts w:hint="eastAsia" w:ascii="ＭＳ ゴシック" w:hAnsi="ＭＳ ゴシック" w:eastAsia="ＭＳ ゴシック"/>
          <w:color w:val="auto"/>
          <w:sz w:val="22"/>
        </w:rPr>
        <w:t>4</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2022</w:t>
      </w:r>
      <w:r>
        <w:rPr>
          <w:rFonts w:hint="eastAsia" w:ascii="ＭＳ ゴシック" w:hAnsi="ＭＳ ゴシック" w:eastAsia="ＭＳ ゴシック"/>
          <w:color w:val="auto"/>
          <w:sz w:val="22"/>
        </w:rPr>
        <w:t>）年</w:t>
      </w:r>
      <w:r>
        <w:rPr>
          <w:rFonts w:hint="eastAsia" w:ascii="ＭＳ ゴシック" w:hAnsi="ＭＳ ゴシック" w:eastAsia="ＭＳ ゴシック"/>
          <w:color w:val="auto"/>
          <w:sz w:val="22"/>
        </w:rPr>
        <w:t>2</w:t>
      </w:r>
      <w:r>
        <w:rPr>
          <w:rFonts w:hint="eastAsia" w:ascii="ＭＳ ゴシック" w:hAnsi="ＭＳ ゴシック" w:eastAsia="ＭＳ ゴシック"/>
          <w:color w:val="auto"/>
          <w:sz w:val="22"/>
        </w:rPr>
        <w:t>月から令和</w:t>
      </w:r>
      <w:r>
        <w:rPr>
          <w:rFonts w:hint="eastAsia" w:ascii="ＭＳ ゴシック" w:hAnsi="ＭＳ ゴシック" w:eastAsia="ＭＳ ゴシック"/>
          <w:color w:val="auto"/>
          <w:sz w:val="22"/>
        </w:rPr>
        <w:t>8</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2026</w:t>
      </w:r>
      <w:r>
        <w:rPr>
          <w:rFonts w:hint="eastAsia" w:ascii="ＭＳ ゴシック" w:hAnsi="ＭＳ ゴシック" w:eastAsia="ＭＳ ゴシック"/>
          <w:color w:val="auto"/>
          <w:sz w:val="22"/>
        </w:rPr>
        <w:t>）年</w:t>
      </w:r>
      <w:r>
        <w:rPr>
          <w:rFonts w:hint="eastAsia" w:ascii="ＭＳ ゴシック" w:hAnsi="ＭＳ ゴシック" w:eastAsia="ＭＳ ゴシック"/>
          <w:color w:val="auto"/>
          <w:sz w:val="22"/>
        </w:rPr>
        <w:t>3</w:t>
      </w:r>
      <w:r>
        <w:rPr>
          <w:rFonts w:hint="eastAsia" w:ascii="ＭＳ ゴシック" w:hAnsi="ＭＳ ゴシック" w:eastAsia="ＭＳ ゴシック"/>
          <w:color w:val="auto"/>
          <w:sz w:val="22"/>
        </w:rPr>
        <w:t>月までを、本計画の対象期間とします。</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z w:val="22"/>
        </w:rPr>
        <w:t>　本計画は、国の動向や社会情勢、デジタル技術の変化などを反映させるよう適宜、見直しを行います。</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outlineLvl w:val="0"/>
        <w:rPr>
          <w:rFonts w:hint="eastAsia" w:ascii="ＭＳ ゴシック" w:hAnsi="ＭＳ ゴシック" w:eastAsia="ＭＳ ゴシック"/>
          <w:color w:val="auto"/>
        </w:rPr>
      </w:pPr>
      <w:bookmarkStart w:id="49" w:name="_Toc10438"/>
      <w:bookmarkStart w:id="50" w:name="_Toc13552"/>
      <w:bookmarkStart w:id="51" w:name="_Toc13681"/>
      <w:bookmarkStart w:id="52" w:name="_Toc18608"/>
      <w:bookmarkStart w:id="53" w:name="_Toc21318"/>
      <w:bookmarkStart w:id="54" w:name="_Toc23166"/>
      <w:bookmarkStart w:id="55" w:name="_Toc26634"/>
      <w:bookmarkStart w:id="56" w:name="_Toc27556"/>
      <w:bookmarkStart w:id="57" w:name="_Toc27584"/>
      <w:bookmarkStart w:id="58" w:name="_Toc29060"/>
      <w:bookmarkStart w:id="59" w:name="_Toc31370"/>
      <w:bookmarkStart w:id="60" w:name="_Toc31535"/>
      <w:bookmarkStart w:id="61" w:name="_Toc5181"/>
      <w:bookmarkStart w:id="62" w:name="_Toc8562"/>
      <w:r>
        <w:rPr>
          <w:rFonts w:hint="eastAsia" w:ascii="ＭＳ ゴシック" w:hAnsi="ＭＳ ゴシック" w:eastAsia="ＭＳ ゴシック"/>
          <w:color w:val="auto"/>
          <w:sz w:val="28"/>
          <w:u w:val="single" w:color="auto"/>
        </w:rPr>
        <w:t>4. DX</w:t>
      </w:r>
      <w:r>
        <w:rPr>
          <w:rFonts w:hint="eastAsia" w:ascii="ＭＳ ゴシック" w:hAnsi="ＭＳ ゴシック" w:eastAsia="ＭＳ ゴシック"/>
          <w:color w:val="auto"/>
          <w:sz w:val="28"/>
          <w:u w:val="single" w:color="auto"/>
        </w:rPr>
        <w:t>推進体制の構築</w:t>
      </w:r>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0"/>
        <w:outlineLvl w:val="1"/>
        <w:rPr>
          <w:rFonts w:hint="eastAsia" w:ascii="ＭＳ ゴシック" w:hAnsi="ＭＳ ゴシック" w:eastAsia="ＭＳ ゴシック"/>
          <w:color w:val="auto"/>
          <w:sz w:val="22"/>
        </w:rPr>
      </w:pPr>
      <w:bookmarkStart w:id="63" w:name="_Toc13138"/>
      <w:bookmarkStart w:id="64" w:name="_Toc14060"/>
      <w:bookmarkStart w:id="65" w:name="_Toc15073"/>
      <w:bookmarkStart w:id="66" w:name="_Toc15976"/>
      <w:bookmarkStart w:id="67" w:name="_Toc18009"/>
      <w:bookmarkStart w:id="68" w:name="_Toc18323"/>
      <w:bookmarkStart w:id="69" w:name="_Toc20099"/>
      <w:bookmarkStart w:id="70" w:name="_Toc21961"/>
      <w:bookmarkStart w:id="71" w:name="_Toc25907"/>
      <w:bookmarkStart w:id="72" w:name="_Toc27668"/>
      <w:bookmarkStart w:id="73" w:name="_Toc29114"/>
      <w:bookmarkStart w:id="74" w:name="_Toc31214"/>
      <w:bookmarkStart w:id="75" w:name="_Toc32605"/>
      <w:bookmarkStart w:id="76" w:name="_Toc7645"/>
      <w:r>
        <w:rPr>
          <w:rFonts w:hint="eastAsia" w:ascii="ＭＳ ゴシック" w:hAnsi="ＭＳ ゴシック" w:eastAsia="ＭＳ ゴシック"/>
          <w:color w:val="auto"/>
          <w:sz w:val="24"/>
          <w:shd w:val="clear" w:color="auto" w:fill="auto"/>
        </w:rPr>
        <w:t xml:space="preserve">4.1 </w:t>
      </w:r>
      <w:r>
        <w:rPr>
          <w:rFonts w:hint="eastAsia" w:ascii="ＭＳ ゴシック" w:hAnsi="ＭＳ ゴシック" w:eastAsia="ＭＳ ゴシック"/>
          <w:color w:val="auto"/>
          <w:sz w:val="24"/>
          <w:shd w:val="clear" w:color="auto" w:fill="auto"/>
        </w:rPr>
        <w:t>組織体制</w:t>
      </w:r>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多くの業務に関係する取組みを短期間で行うための効果的な推進体制として、「日向市情報化推進委員会」による全庁的・横断的な体制のもと、積極的かつ効果的な</w:t>
      </w:r>
      <w:r>
        <w:rPr>
          <w:rFonts w:hint="eastAsia" w:ascii="ＭＳ ゴシック" w:hAnsi="ＭＳ ゴシック" w:eastAsia="ＭＳ ゴシック"/>
          <w:color w:val="auto"/>
          <w:sz w:val="22"/>
        </w:rPr>
        <w:t>DX</w:t>
      </w:r>
      <w:r>
        <w:rPr>
          <w:rFonts w:hint="eastAsia" w:ascii="ＭＳ ゴシック" w:hAnsi="ＭＳ ゴシック" w:eastAsia="ＭＳ ゴシック"/>
          <w:color w:val="auto"/>
          <w:sz w:val="22"/>
        </w:rPr>
        <w:t>推進を図ります。</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color w:val="auto"/>
        </w:rPr>
        <mc:AlternateContent>
          <mc:Choice Requires="wps">
            <w:drawing>
              <wp:anchor distT="0" distB="0" distL="203200" distR="203200" simplePos="0" relativeHeight="11" behindDoc="0" locked="0" layoutInCell="1" hidden="0" allowOverlap="1">
                <wp:simplePos x="0" y="0"/>
                <wp:positionH relativeFrom="column">
                  <wp:posOffset>1055370</wp:posOffset>
                </wp:positionH>
                <wp:positionV relativeFrom="paragraph">
                  <wp:posOffset>85725</wp:posOffset>
                </wp:positionV>
                <wp:extent cx="4312920" cy="3505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312920" cy="35052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color w:val="000000" w:themeColor="text1"/>
                              </w:rPr>
                              <w:t>日向市情報化推進委員会</w:t>
                            </w:r>
                          </w:p>
                          <w:p>
                            <w:pPr>
                              <w:pStyle w:val="0"/>
                              <w:jc w:val="center"/>
                              <w:rPr>
                                <w:rFonts w:hint="eastAsia"/>
                              </w:rPr>
                            </w:pPr>
                          </w:p>
                        </w:txbxContent>
                      </wps:txbx>
                      <wps:bodyPr vertOverflow="overflow" horzOverflow="overflow" wrap="square" anchor="ctr"/>
                    </wps:wsp>
                  </a:graphicData>
                </a:graphic>
              </wp:anchor>
            </w:drawing>
          </mc:Choice>
          <mc:Fallback>
            <w:pict>
              <v:rect id="オブジェクト 0" style="mso-wrap-distance-right:16pt;mso-wrap-distance-bottom:0pt;margin-top:6.75pt;mso-position-vertical-relative:text;mso-position-horizontal-relative:text;v-text-anchor:middle;position:absolute;height:27.6pt;mso-wrap-distance-top:0pt;width:339.6pt;mso-wrap-distance-left:16pt;margin-left:83.1pt;z-index:11;" o:spid="_x0000_s1026" o:allowincell="t" o:allowoverlap="t" filled="t" fillcolor="#ffffff [3212]" stroked="t" strokecolor="#000000 [3213]" strokeweight="1pt" o:spt="1">
                <v:fill/>
                <v:stroke linestyle="single" miterlimit="8" endcap="flat" dashstyle="solid" filltype="solid"/>
                <v:textbox style="layout-flow:horizontal;">
                  <w:txbxContent>
                    <w:p>
                      <w:pPr>
                        <w:pStyle w:val="0"/>
                        <w:jc w:val="center"/>
                        <w:rPr>
                          <w:rFonts w:hint="eastAsia"/>
                        </w:rPr>
                      </w:pPr>
                      <w:r>
                        <w:rPr>
                          <w:rFonts w:hint="eastAsia" w:ascii="ＭＳ ゴシック" w:hAnsi="ＭＳ ゴシック" w:eastAsia="ＭＳ ゴシック"/>
                          <w:color w:val="000000" w:themeColor="text1"/>
                        </w:rPr>
                        <w:t>日向市情報化推進委員会</w:t>
                      </w:r>
                    </w:p>
                    <w:p>
                      <w:pPr>
                        <w:pStyle w:val="0"/>
                        <w:jc w:val="center"/>
                        <w:rPr>
                          <w:rFonts w:hint="eastAsia"/>
                        </w:rPr>
                      </w:pPr>
                    </w:p>
                  </w:txbxContent>
                </v:textbox>
                <v:imagedata o:title=""/>
                <w10:wrap type="none" anchorx="text" anchory="text"/>
              </v:rect>
            </w:pict>
          </mc:Fallback>
        </mc:AlternateContent>
      </w:r>
      <w:r>
        <w:rPr>
          <w:rFonts w:hint="eastAsia"/>
          <w:color w:val="auto"/>
        </w:rPr>
        <mc:AlternateContent>
          <mc:Choice Requires="wps">
            <w:drawing>
              <wp:anchor distT="0" distB="0" distL="203200" distR="203200" simplePos="0" relativeHeight="10" behindDoc="0" locked="0" layoutInCell="1" hidden="0" allowOverlap="1">
                <wp:simplePos x="0" y="0"/>
                <wp:positionH relativeFrom="column">
                  <wp:posOffset>0</wp:posOffset>
                </wp:positionH>
                <wp:positionV relativeFrom="paragraph">
                  <wp:posOffset>215265</wp:posOffset>
                </wp:positionV>
                <wp:extent cx="6425565" cy="2932430"/>
                <wp:effectExtent l="19685" t="19685" r="29845" b="20320"/>
                <wp:wrapNone/>
                <wp:docPr id="1027" name="オブジェクト 0"/>
                <a:graphic xmlns:a="http://schemas.openxmlformats.org/drawingml/2006/main">
                  <a:graphicData uri="http://schemas.microsoft.com/office/word/2010/wordprocessingShape">
                    <wps:wsp>
                      <wps:cNvPr id="1027" name="オブジェクト 0"/>
                      <wps:cNvSpPr/>
                      <wps:spPr>
                        <a:xfrm>
                          <a:off x="0" y="0"/>
                          <a:ext cx="6425565" cy="2932430"/>
                        </a:xfrm>
                        <a:prstGeom prst="roundRect">
                          <a:avLst/>
                        </a:prstGeom>
                        <a:noFill/>
                        <a:ln w="28575" cap="flat" cmpd="sng" algn="ctr">
                          <a:solidFill>
                            <a:schemeClr val="accent2"/>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16.95pt;mso-position-vertical-relative:text;mso-position-horizontal-relative:text;position:absolute;height:230.9pt;mso-wrap-distance-top:0pt;width:505.95pt;mso-wrap-distance-left:16pt;margin-left:0pt;z-index:10;" o:spid="_x0000_s1027" o:allowincell="t" o:allowoverlap="t" filled="f" stroked="t" strokecolor="#ed7d31 [3205]" strokeweight="2.25pt" o:spt="2" arcsize="10923f">
                <v:fill/>
                <v:stroke linestyle="single" miterlimit="8" endcap="flat" dashstyle="solid" filltype="solid"/>
                <v:textbox style="layout-flow:horizontal;"/>
                <v:imagedata o:title=""/>
                <w10:wrap type="none" anchorx="text" anchory="text"/>
              </v:roundrect>
            </w:pict>
          </mc:Fallback>
        </mc:AlternateConten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color w:val="auto"/>
        </w:rPr>
        <mc:AlternateContent>
          <mc:Choice Requires="wps">
            <w:drawing>
              <wp:anchor distT="0" distB="0" distL="203200" distR="203200" simplePos="0" relativeHeight="8" behindDoc="0" locked="0" layoutInCell="1" hidden="0" allowOverlap="1">
                <wp:simplePos x="0" y="0"/>
                <wp:positionH relativeFrom="column">
                  <wp:posOffset>194310</wp:posOffset>
                </wp:positionH>
                <wp:positionV relativeFrom="paragraph">
                  <wp:posOffset>173990</wp:posOffset>
                </wp:positionV>
                <wp:extent cx="2230120" cy="1934210"/>
                <wp:effectExtent l="19685" t="19685" r="29845" b="20320"/>
                <wp:wrapNone/>
                <wp:docPr id="1028" name="オブジェクト 0"/>
                <a:graphic xmlns:a="http://schemas.openxmlformats.org/drawingml/2006/main">
                  <a:graphicData uri="http://schemas.microsoft.com/office/word/2010/wordprocessingShape">
                    <wps:wsp>
                      <wps:cNvPr id="1028" name="オブジェクト 0"/>
                      <wps:cNvSpPr/>
                      <wps:spPr>
                        <a:xfrm>
                          <a:off x="0" y="0"/>
                          <a:ext cx="2230120" cy="1934210"/>
                        </a:xfrm>
                        <a:prstGeom prst="roundRect">
                          <a:avLst/>
                        </a:prstGeom>
                        <a:noFill/>
                        <a:ln w="28575" cap="flat" cmpd="sng" algn="ctr">
                          <a:solidFill>
                            <a:schemeClr val="accent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13.7pt;mso-position-vertical-relative:text;mso-position-horizontal-relative:text;position:absolute;height:152.30000000000001pt;mso-wrap-distance-top:0pt;width:175.6pt;mso-wrap-distance-left:16pt;margin-left:15.3pt;z-index:8;" o:spid="_x0000_s1028" o:allowincell="t" o:allowoverlap="t" filled="f" stroked="t" strokecolor="#5b9bd5 [3204]" strokeweight="2.25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color w:val="auto"/>
        </w:rPr>
        <mc:AlternateContent>
          <mc:Choice Requires="wps">
            <w:drawing>
              <wp:anchor distT="0" distB="0" distL="203200" distR="203200" simplePos="0" relativeHeight="9" behindDoc="0" locked="0" layoutInCell="1" hidden="0" allowOverlap="1">
                <wp:simplePos x="0" y="0"/>
                <wp:positionH relativeFrom="column">
                  <wp:posOffset>2606040</wp:posOffset>
                </wp:positionH>
                <wp:positionV relativeFrom="paragraph">
                  <wp:posOffset>173990</wp:posOffset>
                </wp:positionV>
                <wp:extent cx="3547745" cy="2407920"/>
                <wp:effectExtent l="19685" t="19685" r="29845" b="20320"/>
                <wp:wrapNone/>
                <wp:docPr id="1029" name="オブジェクト 0"/>
                <a:graphic xmlns:a="http://schemas.openxmlformats.org/drawingml/2006/main">
                  <a:graphicData uri="http://schemas.microsoft.com/office/word/2010/wordprocessingShape">
                    <wps:wsp>
                      <wps:cNvPr id="1029" name="オブジェクト 0"/>
                      <wps:cNvSpPr/>
                      <wps:spPr>
                        <a:xfrm>
                          <a:off x="0" y="0"/>
                          <a:ext cx="3547745" cy="2407920"/>
                        </a:xfrm>
                        <a:prstGeom prst="roundRect">
                          <a:avLst/>
                        </a:prstGeom>
                        <a:noFill/>
                        <a:ln w="28575" cap="flat" cmpd="sng" algn="ctr">
                          <a:solidFill>
                            <a:schemeClr val="accent6"/>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13.7pt;mso-position-vertical-relative:text;mso-position-horizontal-relative:text;position:absolute;height:189.6pt;mso-wrap-distance-top:0pt;width:279.35000000000002pt;mso-wrap-distance-left:16pt;margin-left:205.2pt;z-index:9;" o:spid="_x0000_s1029" o:allowincell="t" o:allowoverlap="t" filled="f" stroked="t" strokecolor="#70ad47 [3209]" strokeweight="2.25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ascii="ＭＳ ゴシック" w:hAnsi="ＭＳ ゴシック" w:eastAsia="ＭＳ ゴシック"/>
          <w:color w:val="auto"/>
          <w:sz w:val="22"/>
        </w:rPr>
        <w:t>　　　</w:t>
      </w:r>
    </w:p>
    <w:p>
      <w:pPr>
        <w:pStyle w:val="0"/>
        <w:rPr>
          <w:rFonts w:hint="eastAsia" w:ascii="ＭＳ ゴシック" w:hAnsi="ＭＳ ゴシック" w:eastAsia="ＭＳ ゴシック"/>
          <w:color w:val="auto"/>
          <w:sz w:val="22"/>
        </w:rPr>
      </w:pPr>
      <w:r>
        <w:rPr>
          <w:rFonts w:hint="eastAsia"/>
          <w:color w:val="auto"/>
        </w:rPr>
        <mc:AlternateContent>
          <mc:Choice Requires="wps">
            <w:drawing>
              <wp:anchor distT="0" distB="0" distL="203200" distR="203200" simplePos="0" relativeHeight="13" behindDoc="0" locked="0" layoutInCell="1" hidden="0" allowOverlap="1">
                <wp:simplePos x="0" y="0"/>
                <wp:positionH relativeFrom="column">
                  <wp:posOffset>351790</wp:posOffset>
                </wp:positionH>
                <wp:positionV relativeFrom="paragraph">
                  <wp:posOffset>158750</wp:posOffset>
                </wp:positionV>
                <wp:extent cx="1767840" cy="35052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1767840" cy="35052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ascii="ＭＳ ゴシック" w:hAnsi="ＭＳ ゴシック" w:eastAsia="ＭＳ ゴシック"/>
                                <w:color w:val="000000" w:themeColor="text1"/>
                              </w:rPr>
                              <w:t>副市長（</w:t>
                            </w:r>
                            <w:r>
                              <w:rPr>
                                <w:rFonts w:hint="eastAsia" w:ascii="ＭＳ ゴシック" w:hAnsi="ＭＳ ゴシック" w:eastAsia="ＭＳ ゴシック"/>
                                <w:color w:val="000000" w:themeColor="text1"/>
                              </w:rPr>
                              <w:t>CIO</w:t>
                            </w:r>
                            <w:r>
                              <w:rPr>
                                <w:rFonts w:hint="eastAsia" w:ascii="ＭＳ ゴシック" w:hAnsi="ＭＳ ゴシック" w:eastAsia="ＭＳ ゴシック"/>
                                <w:color w:val="000000" w:themeColor="text1"/>
                              </w:rPr>
                              <w:t>兼</w:t>
                            </w:r>
                            <w:r>
                              <w:rPr>
                                <w:rFonts w:hint="eastAsia" w:ascii="ＭＳ ゴシック" w:hAnsi="ＭＳ ゴシック" w:eastAsia="ＭＳ ゴシック"/>
                                <w:color w:val="000000" w:themeColor="text1"/>
                              </w:rPr>
                              <w:t>CISO</w:t>
                            </w:r>
                            <w:r>
                              <w:rPr>
                                <w:rFonts w:hint="eastAsia" w:ascii="ＭＳ ゴシック" w:hAnsi="ＭＳ ゴシック" w:eastAsia="ＭＳ ゴシック"/>
                                <w:color w:val="000000" w:themeColor="text1"/>
                              </w:rPr>
                              <w:t>）</w:t>
                            </w:r>
                          </w:p>
                          <w:p>
                            <w:pPr>
                              <w:pStyle w:val="0"/>
                              <w:jc w:val="left"/>
                              <w:rPr>
                                <w:rFonts w:hint="eastAsia"/>
                              </w:rPr>
                            </w:pPr>
                          </w:p>
                        </w:txbxContent>
                      </wps:txbx>
                      <wps:bodyPr vertOverflow="overflow" horzOverflow="overflow" wrap="square" lIns="180000" anchor="ctr"/>
                    </wps:wsp>
                  </a:graphicData>
                </a:graphic>
              </wp:anchor>
            </w:drawing>
          </mc:Choice>
          <mc:Fallback>
            <w:pict>
              <v:rect id="オブジェクト 0" style="mso-wrap-distance-right:16pt;mso-wrap-distance-bottom:0pt;margin-top:12.5pt;mso-position-vertical-relative:text;mso-position-horizontal-relative:text;v-text-anchor:middle;position:absolute;height:27.6pt;mso-wrap-distance-top:0pt;width:139.19pt;mso-wrap-distance-left:16pt;margin-left:27.7pt;z-index:13;" o:spid="_x0000_s1030" o:allowincell="t" o:allowoverlap="t" filled="t" fillcolor="#ffffff [3212]" stroked="t" strokecolor="#000000 [3213]" strokeweight="1pt" o:spt="1">
                <v:fill/>
                <v:stroke linestyle="single" miterlimit="8" endcap="flat" dashstyle="solid" filltype="solid"/>
                <v:textbox style="layout-flow:horizontal;" inset="4.9999999999999991mm,,,">
                  <w:txbxContent>
                    <w:p>
                      <w:pPr>
                        <w:pStyle w:val="0"/>
                        <w:jc w:val="left"/>
                        <w:rPr>
                          <w:rFonts w:hint="eastAsia"/>
                        </w:rPr>
                      </w:pPr>
                      <w:r>
                        <w:rPr>
                          <w:rFonts w:hint="eastAsia" w:ascii="ＭＳ ゴシック" w:hAnsi="ＭＳ ゴシック" w:eastAsia="ＭＳ ゴシック"/>
                          <w:color w:val="000000" w:themeColor="text1"/>
                        </w:rPr>
                        <w:t>副市長（</w:t>
                      </w:r>
                      <w:r>
                        <w:rPr>
                          <w:rFonts w:hint="eastAsia" w:ascii="ＭＳ ゴシック" w:hAnsi="ＭＳ ゴシック" w:eastAsia="ＭＳ ゴシック"/>
                          <w:color w:val="000000" w:themeColor="text1"/>
                        </w:rPr>
                        <w:t>CIO</w:t>
                      </w:r>
                      <w:r>
                        <w:rPr>
                          <w:rFonts w:hint="eastAsia" w:ascii="ＭＳ ゴシック" w:hAnsi="ＭＳ ゴシック" w:eastAsia="ＭＳ ゴシック"/>
                          <w:color w:val="000000" w:themeColor="text1"/>
                        </w:rPr>
                        <w:t>兼</w:t>
                      </w:r>
                      <w:r>
                        <w:rPr>
                          <w:rFonts w:hint="eastAsia" w:ascii="ＭＳ ゴシック" w:hAnsi="ＭＳ ゴシック" w:eastAsia="ＭＳ ゴシック"/>
                          <w:color w:val="000000" w:themeColor="text1"/>
                        </w:rPr>
                        <w:t>CISO</w:t>
                      </w:r>
                      <w:r>
                        <w:rPr>
                          <w:rFonts w:hint="eastAsia" w:ascii="ＭＳ ゴシック" w:hAnsi="ＭＳ ゴシック" w:eastAsia="ＭＳ ゴシック"/>
                          <w:color w:val="000000" w:themeColor="text1"/>
                        </w:rPr>
                        <w:t>）</w:t>
                      </w:r>
                    </w:p>
                    <w:p>
                      <w:pPr>
                        <w:pStyle w:val="0"/>
                        <w:jc w:val="left"/>
                        <w:rPr>
                          <w:rFonts w:hint="eastAsia"/>
                        </w:rPr>
                      </w:pPr>
                    </w:p>
                  </w:txbxContent>
                </v:textbox>
                <v:imagedata o:title=""/>
                <w10:wrap type="none" anchorx="text" anchory="text"/>
              </v:rect>
            </w:pict>
          </mc:Fallback>
        </mc:AlternateContent>
      </w:r>
      <w:r>
        <w:rPr>
          <w:rFonts w:hint="eastAsia"/>
          <w:color w:val="auto"/>
        </w:rPr>
        <mc:AlternateContent>
          <mc:Choice Requires="wps">
            <w:drawing>
              <wp:anchor distT="0" distB="0" distL="203200" distR="203200" simplePos="0" relativeHeight="4" behindDoc="0" locked="0" layoutInCell="1" hidden="0" allowOverlap="1">
                <wp:simplePos x="0" y="0"/>
                <wp:positionH relativeFrom="column">
                  <wp:posOffset>3324860</wp:posOffset>
                </wp:positionH>
                <wp:positionV relativeFrom="paragraph">
                  <wp:posOffset>151130</wp:posOffset>
                </wp:positionV>
                <wp:extent cx="2353310" cy="35052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2353310" cy="35052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ascii="ＭＳ ゴシック" w:hAnsi="ＭＳ ゴシック" w:eastAsia="ＭＳ ゴシック"/>
                                <w:color w:val="000000" w:themeColor="text1"/>
                              </w:rPr>
                              <w:t>DX</w:t>
                            </w:r>
                            <w:r>
                              <w:rPr>
                                <w:rFonts w:hint="eastAsia" w:ascii="ＭＳ ゴシック" w:hAnsi="ＭＳ ゴシック" w:eastAsia="ＭＳ ゴシック"/>
                                <w:color w:val="000000" w:themeColor="text1"/>
                              </w:rPr>
                              <w:t>リーダー（各課代表）</w:t>
                            </w:r>
                          </w:p>
                        </w:txbxContent>
                      </wps:txbx>
                      <wps:bodyPr vertOverflow="overflow" horzOverflow="overflow" wrap="square" lIns="180000" anchor="ctr"/>
                    </wps:wsp>
                  </a:graphicData>
                </a:graphic>
              </wp:anchor>
            </w:drawing>
          </mc:Choice>
          <mc:Fallback>
            <w:pict>
              <v:rect id="オブジェクト 0" style="mso-wrap-distance-right:16pt;mso-wrap-distance-bottom:0pt;margin-top:11.9pt;mso-position-vertical-relative:text;mso-position-horizontal-relative:text;v-text-anchor:middle;position:absolute;height:27.6pt;mso-wrap-distance-top:0pt;width:185.3pt;mso-wrap-distance-left:16pt;margin-left:261.8pt;z-index:4;" o:spid="_x0000_s1031" o:allowincell="t" o:allowoverlap="t" filled="t" fillcolor="#ffffff [3212]" stroked="t" strokecolor="#000000 [3213]" strokeweight="1pt" o:spt="1">
                <v:fill/>
                <v:stroke linestyle="single" miterlimit="8" endcap="flat" dashstyle="solid" filltype="solid"/>
                <v:textbox style="layout-flow:horizontal;" inset="4.9999999999999991mm,,,">
                  <w:txbxContent>
                    <w:p>
                      <w:pPr>
                        <w:pStyle w:val="0"/>
                        <w:jc w:val="left"/>
                        <w:rPr>
                          <w:rFonts w:hint="eastAsia"/>
                        </w:rPr>
                      </w:pPr>
                      <w:r>
                        <w:rPr>
                          <w:rFonts w:hint="eastAsia" w:ascii="ＭＳ ゴシック" w:hAnsi="ＭＳ ゴシック" w:eastAsia="ＭＳ ゴシック"/>
                          <w:color w:val="000000" w:themeColor="text1"/>
                        </w:rPr>
                        <w:t>DX</w:t>
                      </w:r>
                      <w:r>
                        <w:rPr>
                          <w:rFonts w:hint="eastAsia" w:ascii="ＭＳ ゴシック" w:hAnsi="ＭＳ ゴシック" w:eastAsia="ＭＳ ゴシック"/>
                          <w:color w:val="000000" w:themeColor="text1"/>
                        </w:rPr>
                        <w:t>リーダー（各課代表）</w:t>
                      </w:r>
                    </w:p>
                  </w:txbxContent>
                </v:textbox>
                <v:imagedata o:title=""/>
                <w10:wrap type="none" anchorx="text" anchory="text"/>
              </v:rect>
            </w:pict>
          </mc:Fallback>
        </mc:AlternateContent>
      </w:r>
    </w:p>
    <w:p>
      <w:pPr>
        <w:pStyle w:val="0"/>
        <w:rPr>
          <w:rFonts w:hint="eastAsia" w:ascii="ＭＳ ゴシック" w:hAnsi="ＭＳ ゴシック" w:eastAsia="ＭＳ ゴシック"/>
          <w:color w:val="auto"/>
          <w:sz w:val="22"/>
        </w:rPr>
      </w:pPr>
      <w:r>
        <w:rPr>
          <w:rFonts w:hint="eastAsia"/>
          <w:color w:val="auto"/>
        </w:rPr>
        <mc:AlternateContent>
          <mc:Choice Requires="wps">
            <w:drawing>
              <wp:anchor distT="0" distB="0" distL="203200" distR="203200" simplePos="0" relativeHeight="115" behindDoc="0" locked="0" layoutInCell="1" hidden="0" allowOverlap="1">
                <wp:simplePos x="0" y="0"/>
                <wp:positionH relativeFrom="column">
                  <wp:posOffset>3129915</wp:posOffset>
                </wp:positionH>
                <wp:positionV relativeFrom="paragraph">
                  <wp:posOffset>88900</wp:posOffset>
                </wp:positionV>
                <wp:extent cx="0" cy="1496695"/>
                <wp:effectExtent l="635" t="0" r="29845" b="10160"/>
                <wp:wrapNone/>
                <wp:docPr id="1032" name="オブジェクト 0"/>
                <a:graphic xmlns:a="http://schemas.openxmlformats.org/drawingml/2006/main">
                  <a:graphicData uri="http://schemas.microsoft.com/office/word/2010/wordprocessingShape">
                    <wps:wsp>
                      <wps:cNvPr id="1032" name="オブジェクト 0"/>
                      <wps:cNvSpPr/>
                      <wps:spPr>
                        <a:xfrm>
                          <a:off x="0" y="0"/>
                          <a:ext cx="0" cy="1496695"/>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15;" o:spid="_x0000_s1032" o:allowincell="t" o:allowoverlap="t" filled="f" stroked="t" strokecolor="#000000 [3213]" strokeweight="0.5pt" o:spt="20" from="246.45pt,7pt" to="246.45pt,124.85pt">
                <v:fill/>
                <v:stroke linestyle="single" miterlimit="8" endcap="flat" dashstyle="solid" filltype="solid"/>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112" behindDoc="0" locked="0" layoutInCell="1" hidden="0" allowOverlap="1">
                <wp:simplePos x="0" y="0"/>
                <wp:positionH relativeFrom="column">
                  <wp:posOffset>3129915</wp:posOffset>
                </wp:positionH>
                <wp:positionV relativeFrom="paragraph">
                  <wp:posOffset>88900</wp:posOffset>
                </wp:positionV>
                <wp:extent cx="179705" cy="0"/>
                <wp:effectExtent l="635" t="635" r="29210" b="10795"/>
                <wp:wrapNone/>
                <wp:docPr id="1033" name="オブジェクト 0"/>
                <a:graphic xmlns:a="http://schemas.openxmlformats.org/drawingml/2006/main">
                  <a:graphicData uri="http://schemas.microsoft.com/office/word/2010/wordprocessingShape">
                    <wps:wsp>
                      <wps:cNvPr id="1033" name="オブジェクト 0"/>
                      <wps:cNvSpPr/>
                      <wps:spPr>
                        <a:xfrm flipH="1">
                          <a:off x="0" y="0"/>
                          <a:ext cx="179705"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112;" o:spid="_x0000_s1033" o:allowincell="t" o:allowoverlap="t" filled="f" stroked="t" strokecolor="#000000 [3213]" strokeweight="0.5pt" o:spt="20" from="246.45pt,7pt" to="260.60000000000002pt,7pt">
                <v:fill/>
                <v:stroke linestyle="single" miterlimit="8" endcap="flat" dashstyle="solid" filltype="solid"/>
                <v:textbox style="layout-flow:horizontal;"/>
                <v:imagedata o:title=""/>
                <w10:wrap type="none" anchorx="text" anchory="text"/>
              </v:line>
            </w:pict>
          </mc:Fallback>
        </mc:AlternateContent>
      </w:r>
    </w:p>
    <w:p>
      <w:pPr>
        <w:pStyle w:val="0"/>
        <w:rPr>
          <w:rFonts w:hint="eastAsia" w:ascii="ＭＳ ゴシック" w:hAnsi="ＭＳ ゴシック" w:eastAsia="ＭＳ ゴシック"/>
          <w:color w:val="auto"/>
          <w:sz w:val="22"/>
        </w:rPr>
      </w:pPr>
      <w:r>
        <w:rPr>
          <w:rFonts w:hint="eastAsia"/>
          <w:color w:val="auto"/>
        </w:rPr>
        <mc:AlternateContent>
          <mc:Choice Requires="wps">
            <w:drawing>
              <wp:anchor distT="0" distB="0" distL="203200" distR="203200" simplePos="0" relativeHeight="12" behindDoc="0" locked="0" layoutInCell="1" hidden="0" allowOverlap="1">
                <wp:simplePos x="0" y="0"/>
                <wp:positionH relativeFrom="column">
                  <wp:posOffset>905510</wp:posOffset>
                </wp:positionH>
                <wp:positionV relativeFrom="paragraph">
                  <wp:posOffset>52070</wp:posOffset>
                </wp:positionV>
                <wp:extent cx="15240" cy="99060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flipH="1">
                          <a:off x="0" y="0"/>
                          <a:ext cx="15240" cy="99060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12;" o:spid="_x0000_s1034" o:allowincell="t" o:allowoverlap="t" filled="f" stroked="t" strokecolor="#000000 [3213]" strokeweight="0.5pt" o:spt="20" from="71.3pt,4.1000000000000005pt" to="72.5pt,82.1pt">
                <v:fill/>
                <v:stroke linestyle="single" miterlimit="8" endcap="flat" dashstyle="solid" filltype="solid"/>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111" behindDoc="0" locked="0" layoutInCell="1" hidden="0" allowOverlap="1">
                <wp:simplePos x="0" y="0"/>
                <wp:positionH relativeFrom="column">
                  <wp:posOffset>1783080</wp:posOffset>
                </wp:positionH>
                <wp:positionV relativeFrom="paragraph">
                  <wp:posOffset>225425</wp:posOffset>
                </wp:positionV>
                <wp:extent cx="1150620" cy="76962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1150620" cy="76962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color w:val="000000" w:themeColor="text1"/>
                              </w:rPr>
                              <w:t>事務局</w:t>
                            </w:r>
                          </w:p>
                          <w:p>
                            <w:pPr>
                              <w:pStyle w:val="0"/>
                              <w:jc w:val="center"/>
                              <w:rPr>
                                <w:rFonts w:hint="eastAsia"/>
                              </w:rPr>
                            </w:pPr>
                            <w:r>
                              <w:rPr>
                                <w:rFonts w:hint="eastAsia" w:ascii="ＭＳ ゴシック" w:hAnsi="ＭＳ ゴシック" w:eastAsia="ＭＳ ゴシック"/>
                                <w:color w:val="000000" w:themeColor="text1"/>
                              </w:rPr>
                              <w:t>DX</w:t>
                            </w:r>
                            <w:r>
                              <w:rPr>
                                <w:rFonts w:hint="eastAsia" w:ascii="ＭＳ ゴシック" w:hAnsi="ＭＳ ゴシック" w:eastAsia="ＭＳ ゴシック"/>
                                <w:color w:val="000000" w:themeColor="text1"/>
                              </w:rPr>
                              <w:t>推進担当</w:t>
                            </w:r>
                          </w:p>
                          <w:p>
                            <w:pPr>
                              <w:pStyle w:val="0"/>
                              <w:jc w:val="center"/>
                              <w:rPr>
                                <w:rFonts w:hint="eastAsia"/>
                              </w:rPr>
                            </w:pPr>
                            <w:r>
                              <w:rPr>
                                <w:rFonts w:hint="eastAsia" w:ascii="ＭＳ ゴシック" w:hAnsi="ＭＳ ゴシック" w:eastAsia="ＭＳ ゴシック"/>
                                <w:color w:val="000000" w:themeColor="text1"/>
                              </w:rPr>
                              <w:t>（総合政策課）</w:t>
                            </w:r>
                          </w:p>
                        </w:txbxContent>
                      </wps:txbx>
                      <wps:bodyPr vertOverflow="overflow" horzOverflow="overflow" wrap="square" anchor="ctr"/>
                    </wps:wsp>
                  </a:graphicData>
                </a:graphic>
              </wp:anchor>
            </w:drawing>
          </mc:Choice>
          <mc:Fallback>
            <w:pict>
              <v:rect id="オブジェクト 0" style="mso-wrap-distance-right:16pt;mso-wrap-distance-bottom:0pt;margin-top:17.75pt;mso-position-vertical-relative:text;mso-position-horizontal-relative:text;v-text-anchor:middle;position:absolute;height:60.6pt;mso-wrap-distance-top:0pt;width:90.6pt;mso-wrap-distance-left:16pt;margin-left:140.4pt;z-index:111;" o:spid="_x0000_s1035" o:allowincell="t" o:allowoverlap="t" filled="t" fillcolor="#ffffff [3212]" stroked="t" strokecolor="#000000 [3213]" strokeweight="1pt" o:spt="1">
                <v:fill/>
                <v:stroke linestyle="single" miterlimit="8" endcap="flat" dashstyle="solid" filltype="solid"/>
                <v:textbox style="layout-flow:horizontal;">
                  <w:txbxContent>
                    <w:p>
                      <w:pPr>
                        <w:pStyle w:val="0"/>
                        <w:jc w:val="center"/>
                        <w:rPr>
                          <w:rFonts w:hint="eastAsia"/>
                        </w:rPr>
                      </w:pPr>
                      <w:r>
                        <w:rPr>
                          <w:rFonts w:hint="eastAsia" w:ascii="ＭＳ ゴシック" w:hAnsi="ＭＳ ゴシック" w:eastAsia="ＭＳ ゴシック"/>
                          <w:color w:val="000000" w:themeColor="text1"/>
                        </w:rPr>
                        <w:t>事務局</w:t>
                      </w:r>
                    </w:p>
                    <w:p>
                      <w:pPr>
                        <w:pStyle w:val="0"/>
                        <w:jc w:val="center"/>
                        <w:rPr>
                          <w:rFonts w:hint="eastAsia"/>
                        </w:rPr>
                      </w:pPr>
                      <w:r>
                        <w:rPr>
                          <w:rFonts w:hint="eastAsia" w:ascii="ＭＳ ゴシック" w:hAnsi="ＭＳ ゴシック" w:eastAsia="ＭＳ ゴシック"/>
                          <w:color w:val="000000" w:themeColor="text1"/>
                        </w:rPr>
                        <w:t>DX</w:t>
                      </w:r>
                      <w:r>
                        <w:rPr>
                          <w:rFonts w:hint="eastAsia" w:ascii="ＭＳ ゴシック" w:hAnsi="ＭＳ ゴシック" w:eastAsia="ＭＳ ゴシック"/>
                          <w:color w:val="000000" w:themeColor="text1"/>
                        </w:rPr>
                        <w:t>推進担当</w:t>
                      </w:r>
                    </w:p>
                    <w:p>
                      <w:pPr>
                        <w:pStyle w:val="0"/>
                        <w:jc w:val="center"/>
                        <w:rPr>
                          <w:rFonts w:hint="eastAsia"/>
                        </w:rPr>
                      </w:pPr>
                      <w:r>
                        <w:rPr>
                          <w:rFonts w:hint="eastAsia" w:ascii="ＭＳ ゴシック" w:hAnsi="ＭＳ ゴシック" w:eastAsia="ＭＳ ゴシック"/>
                          <w:color w:val="000000" w:themeColor="text1"/>
                        </w:rPr>
                        <w:t>（総合政策課）</w:t>
                      </w:r>
                    </w:p>
                  </w:txbxContent>
                </v:textbox>
                <v:imagedata o:title=""/>
                <w10:wrap type="none" anchorx="text" anchory="text"/>
              </v:rect>
            </w:pict>
          </mc:Fallback>
        </mc:AlternateContent>
      </w:r>
      <w:r>
        <w:rPr>
          <w:rFonts w:hint="eastAsia"/>
          <w:color w:val="auto"/>
        </w:rPr>
        <mc:AlternateContent>
          <mc:Choice Requires="wps">
            <w:drawing>
              <wp:anchor distT="0" distB="0" distL="203200" distR="203200" simplePos="0" relativeHeight="16" behindDoc="0" locked="0" layoutInCell="1" hidden="0" allowOverlap="1">
                <wp:simplePos x="0" y="0"/>
                <wp:positionH relativeFrom="column">
                  <wp:posOffset>3290570</wp:posOffset>
                </wp:positionH>
                <wp:positionV relativeFrom="paragraph">
                  <wp:posOffset>23495</wp:posOffset>
                </wp:positionV>
                <wp:extent cx="2971800" cy="304800"/>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2971800"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Chars="0" w:firstLine="0" w:firstLineChars="0"/>
                              <w:rPr>
                                <w:rFonts w:hint="eastAsia" w:ascii="ＭＳ ゴシック" w:hAnsi="ＭＳ ゴシック" w:eastAsia="ＭＳ ゴシック"/>
                                <w:sz w:val="18"/>
                              </w:rPr>
                            </w:pPr>
                            <w:r>
                              <w:rPr>
                                <w:rFonts w:hint="eastAsia" w:ascii="ＭＳ ゴシック" w:hAnsi="ＭＳ ゴシック" w:eastAsia="ＭＳ ゴシック"/>
                                <w:sz w:val="18"/>
                              </w:rPr>
                              <w:t>・各部署におけるデジタル技術活用の中心的存在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85pt;mso-position-vertical-relative:text;mso-position-horizontal-relative:text;position:absolute;height:24pt;mso-wrap-distance-top:0pt;width:234pt;mso-wrap-distance-left:16pt;margin-left:259.10000000000002pt;z-index:16;" o:spid="_x0000_s1036" o:allowincell="t" o:allowoverlap="t" filled="f" stroked="f" strokeweight="0.5pt" o:spt="202" type="#_x0000_t202">
                <v:fill/>
                <v:stroke linestyle="single"/>
                <v:textbox style="layout-flow:horizontal;" inset="2.0637499999999998mm,0.24694444444444438mm,2.0637499999999998mm,0.24694444444444438mm">
                  <w:txbxContent>
                    <w:p>
                      <w:pPr>
                        <w:pStyle w:val="0"/>
                        <w:ind w:leftChars="0" w:firstLine="0" w:firstLineChars="0"/>
                        <w:rPr>
                          <w:rFonts w:hint="eastAsia" w:ascii="ＭＳ ゴシック" w:hAnsi="ＭＳ ゴシック" w:eastAsia="ＭＳ ゴシック"/>
                          <w:sz w:val="18"/>
                        </w:rPr>
                      </w:pPr>
                      <w:r>
                        <w:rPr>
                          <w:rFonts w:hint="eastAsia" w:ascii="ＭＳ ゴシック" w:hAnsi="ＭＳ ゴシック" w:eastAsia="ＭＳ ゴシック"/>
                          <w:sz w:val="18"/>
                        </w:rPr>
                        <w:t>・各部署におけるデジタル技術活用の中心的存在</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18" behindDoc="0" locked="0" layoutInCell="1" hidden="0" allowOverlap="1">
                <wp:simplePos x="0" y="0"/>
                <wp:positionH relativeFrom="column">
                  <wp:posOffset>3305810</wp:posOffset>
                </wp:positionH>
                <wp:positionV relativeFrom="paragraph">
                  <wp:posOffset>201930</wp:posOffset>
                </wp:positionV>
                <wp:extent cx="2971800" cy="304800"/>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2971800"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Chars="0" w:firstLine="0" w:firstLineChars="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DX</w:t>
                            </w:r>
                            <w:r>
                              <w:rPr>
                                <w:rFonts w:hint="eastAsia" w:ascii="ＭＳ ゴシック" w:hAnsi="ＭＳ ゴシック" w:eastAsia="ＭＳ ゴシック"/>
                                <w:sz w:val="18"/>
                              </w:rPr>
                              <w:t>推進に係る課内の各作業、調整連絡</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9pt;mso-position-vertical-relative:text;mso-position-horizontal-relative:text;position:absolute;height:24pt;mso-wrap-distance-top:0pt;width:234pt;mso-wrap-distance-left:16pt;margin-left:260.3pt;z-index:18;" o:spid="_x0000_s1037" o:allowincell="t" o:allowoverlap="t" filled="f" stroked="f" strokeweight="0.5pt" o:spt="202" type="#_x0000_t202">
                <v:fill/>
                <v:stroke linestyle="single"/>
                <v:textbox style="layout-flow:horizontal;" inset="2.0637499999999998mm,0.24694444444444438mm,2.0637499999999998mm,0.24694444444444438mm">
                  <w:txbxContent>
                    <w:p>
                      <w:pPr>
                        <w:pStyle w:val="0"/>
                        <w:ind w:leftChars="0" w:firstLine="0" w:firstLineChars="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DX</w:t>
                      </w:r>
                      <w:r>
                        <w:rPr>
                          <w:rFonts w:hint="eastAsia" w:ascii="ＭＳ ゴシック" w:hAnsi="ＭＳ ゴシック" w:eastAsia="ＭＳ ゴシック"/>
                          <w:sz w:val="18"/>
                        </w:rPr>
                        <w:t>推進に係る課内の各作業、調整連絡</w:t>
                      </w:r>
                    </w:p>
                  </w:txbxContent>
                </v:textbox>
                <v:imagedata o:title=""/>
                <w10:wrap type="none" anchorx="text" anchory="text"/>
              </v:shape>
            </w:pict>
          </mc:Fallback>
        </mc:AlternateContent>
      </w:r>
    </w:p>
    <w:p>
      <w:pPr>
        <w:pStyle w:val="0"/>
        <w:rPr>
          <w:rFonts w:hint="eastAsia" w:ascii="ＭＳ ゴシック" w:hAnsi="ＭＳ ゴシック" w:eastAsia="ＭＳ ゴシック"/>
          <w:color w:val="auto"/>
          <w:sz w:val="22"/>
        </w:rPr>
      </w:pPr>
      <w:r>
        <w:rPr>
          <w:rFonts w:hint="eastAsia"/>
          <w:color w:val="auto"/>
        </w:rPr>
        <mc:AlternateContent>
          <mc:Choice Requires="wps">
            <w:drawing>
              <wp:anchor distT="0" distB="0" distL="203200" distR="203200" simplePos="0" relativeHeight="14" behindDoc="0" locked="0" layoutInCell="1" hidden="0" allowOverlap="1">
                <wp:simplePos x="0" y="0"/>
                <wp:positionH relativeFrom="column">
                  <wp:posOffset>335280</wp:posOffset>
                </wp:positionH>
                <wp:positionV relativeFrom="paragraph">
                  <wp:posOffset>46990</wp:posOffset>
                </wp:positionV>
                <wp:extent cx="1143000" cy="35052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1143000" cy="35052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ascii="ＭＳ ゴシック" w:hAnsi="ＭＳ ゴシック" w:eastAsia="ＭＳ ゴシック"/>
                                <w:color w:val="000000" w:themeColor="text1"/>
                              </w:rPr>
                              <w:t>総合政策部長</w:t>
                            </w:r>
                          </w:p>
                          <w:p>
                            <w:pPr>
                              <w:pStyle w:val="0"/>
                              <w:jc w:val="left"/>
                              <w:rPr>
                                <w:rFonts w:hint="eastAsia"/>
                              </w:rPr>
                            </w:pPr>
                          </w:p>
                        </w:txbxContent>
                      </wps:txbx>
                      <wps:bodyPr vertOverflow="overflow" horzOverflow="overflow" wrap="square" lIns="180000" anchor="ctr"/>
                    </wps:wsp>
                  </a:graphicData>
                </a:graphic>
              </wp:anchor>
            </w:drawing>
          </mc:Choice>
          <mc:Fallback>
            <w:pict>
              <v:rect id="オブジェクト 0" style="mso-wrap-distance-right:16pt;mso-wrap-distance-bottom:0pt;margin-top:3.7pt;mso-position-vertical-relative:text;mso-position-horizontal-relative:text;v-text-anchor:middle;position:absolute;height:27.6pt;mso-wrap-distance-top:0pt;width:90pt;mso-wrap-distance-left:16pt;margin-left:26.4pt;z-index:14;" o:spid="_x0000_s1038" o:allowincell="t" o:allowoverlap="t" filled="t" fillcolor="#ffffff [3212]" stroked="t" strokecolor="#000000 [3213]" strokeweight="1pt" o:spt="1">
                <v:fill/>
                <v:stroke linestyle="single" miterlimit="8" endcap="flat" dashstyle="solid" filltype="solid"/>
                <v:textbox style="layout-flow:horizontal;" inset="4.9999999999999991mm,,,">
                  <w:txbxContent>
                    <w:p>
                      <w:pPr>
                        <w:pStyle w:val="0"/>
                        <w:jc w:val="left"/>
                        <w:rPr>
                          <w:rFonts w:hint="eastAsia"/>
                        </w:rPr>
                      </w:pPr>
                      <w:r>
                        <w:rPr>
                          <w:rFonts w:hint="eastAsia" w:ascii="ＭＳ ゴシック" w:hAnsi="ＭＳ ゴシック" w:eastAsia="ＭＳ ゴシック"/>
                          <w:color w:val="000000" w:themeColor="text1"/>
                        </w:rPr>
                        <w:t>総合政策部長</w:t>
                      </w:r>
                    </w:p>
                    <w:p>
                      <w:pPr>
                        <w:pStyle w:val="0"/>
                        <w:jc w:val="left"/>
                        <w:rPr>
                          <w:rFonts w:hint="eastAsia"/>
                        </w:rPr>
                      </w:pPr>
                    </w:p>
                  </w:txbxContent>
                </v:textbox>
                <v:imagedata o:title=""/>
                <w10:wrap type="none" anchorx="text" anchory="text"/>
              </v:rect>
            </w:pict>
          </mc:Fallback>
        </mc:AlternateContent>
      </w:r>
      <w:r>
        <w:rPr>
          <w:rFonts w:hint="eastAsia"/>
          <w:color w:val="auto"/>
        </w:rPr>
        <mc:AlternateContent>
          <mc:Choice Requires="wps">
            <w:drawing>
              <wp:anchor distT="0" distB="0" distL="203200" distR="203200" simplePos="0" relativeHeight="5" behindDoc="0" locked="0" layoutInCell="1" hidden="0" allowOverlap="1">
                <wp:simplePos x="0" y="0"/>
                <wp:positionH relativeFrom="column">
                  <wp:posOffset>3302000</wp:posOffset>
                </wp:positionH>
                <wp:positionV relativeFrom="paragraph">
                  <wp:posOffset>219075</wp:posOffset>
                </wp:positionV>
                <wp:extent cx="2376170" cy="35052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2376170" cy="35052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ascii="ＭＳ ゴシック" w:hAnsi="ＭＳ ゴシック" w:eastAsia="ＭＳ ゴシック"/>
                                <w:color w:val="000000" w:themeColor="text1"/>
                              </w:rPr>
                              <w:t>DX</w:t>
                            </w:r>
                            <w:r>
                              <w:rPr>
                                <w:rFonts w:hint="eastAsia" w:ascii="ＭＳ ゴシック" w:hAnsi="ＭＳ ゴシック" w:eastAsia="ＭＳ ゴシック"/>
                                <w:color w:val="000000" w:themeColor="text1"/>
                              </w:rPr>
                              <w:t>検討チーム（関係部署）</w:t>
                            </w:r>
                          </w:p>
                          <w:p>
                            <w:pPr>
                              <w:pStyle w:val="0"/>
                              <w:jc w:val="left"/>
                              <w:rPr>
                                <w:rFonts w:hint="eastAsia"/>
                              </w:rPr>
                            </w:pPr>
                          </w:p>
                        </w:txbxContent>
                      </wps:txbx>
                      <wps:bodyPr vertOverflow="overflow" horzOverflow="overflow" wrap="square" lIns="180000" anchor="ctr"/>
                    </wps:wsp>
                  </a:graphicData>
                </a:graphic>
              </wp:anchor>
            </w:drawing>
          </mc:Choice>
          <mc:Fallback>
            <w:pict>
              <v:rect id="オブジェクト 0" style="mso-wrap-distance-right:16pt;mso-wrap-distance-bottom:0pt;margin-top:17.25pt;mso-position-vertical-relative:text;mso-position-horizontal-relative:text;v-text-anchor:middle;position:absolute;height:27.6pt;mso-wrap-distance-top:0pt;width:187.1pt;mso-wrap-distance-left:16pt;margin-left:260pt;z-index:5;" o:spid="_x0000_s1039" o:allowincell="t" o:allowoverlap="t" filled="t" fillcolor="#ffffff [3212]" stroked="t" strokecolor="#000000 [3213]" strokeweight="1pt" o:spt="1">
                <v:fill/>
                <v:stroke linestyle="single" miterlimit="8" endcap="flat" dashstyle="solid" filltype="solid"/>
                <v:textbox style="layout-flow:horizontal;" inset="4.9999999999999991mm,,,">
                  <w:txbxContent>
                    <w:p>
                      <w:pPr>
                        <w:pStyle w:val="0"/>
                        <w:jc w:val="left"/>
                        <w:rPr>
                          <w:rFonts w:hint="eastAsia"/>
                        </w:rPr>
                      </w:pPr>
                      <w:r>
                        <w:rPr>
                          <w:rFonts w:hint="eastAsia" w:ascii="ＭＳ ゴシック" w:hAnsi="ＭＳ ゴシック" w:eastAsia="ＭＳ ゴシック"/>
                          <w:color w:val="000000" w:themeColor="text1"/>
                        </w:rPr>
                        <w:t>DX</w:t>
                      </w:r>
                      <w:r>
                        <w:rPr>
                          <w:rFonts w:hint="eastAsia" w:ascii="ＭＳ ゴシック" w:hAnsi="ＭＳ ゴシック" w:eastAsia="ＭＳ ゴシック"/>
                          <w:color w:val="000000" w:themeColor="text1"/>
                        </w:rPr>
                        <w:t>検討チーム（関係部署）</w:t>
                      </w:r>
                    </w:p>
                    <w:p>
                      <w:pPr>
                        <w:pStyle w:val="0"/>
                        <w:jc w:val="left"/>
                        <w:rPr>
                          <w:rFonts w:hint="eastAsia"/>
                        </w:rPr>
                      </w:pPr>
                    </w:p>
                  </w:txbxContent>
                </v:textbox>
                <v:imagedata o:title=""/>
                <w10:wrap type="none" anchorx="text" anchory="text"/>
              </v:rect>
            </w:pict>
          </mc:Fallback>
        </mc:AlternateContent>
      </w:r>
    </w:p>
    <w:p>
      <w:pPr>
        <w:pStyle w:val="0"/>
        <w:rPr>
          <w:rFonts w:hint="eastAsia" w:ascii="ＭＳ ゴシック" w:hAnsi="ＭＳ ゴシック" w:eastAsia="ＭＳ ゴシック"/>
          <w:color w:val="auto"/>
          <w:sz w:val="22"/>
        </w:rPr>
      </w:pPr>
      <w:r>
        <w:rPr>
          <w:rFonts w:hint="eastAsia"/>
          <w:color w:val="auto"/>
        </w:rPr>
        <mc:AlternateContent>
          <mc:Choice Requires="wps">
            <w:drawing>
              <wp:anchor distT="0" distB="0" distL="203200" distR="203200" simplePos="0" relativeHeight="113" behindDoc="0" locked="0" layoutInCell="1" hidden="0" allowOverlap="1">
                <wp:simplePos x="0" y="0"/>
                <wp:positionH relativeFrom="column">
                  <wp:posOffset>2933700</wp:posOffset>
                </wp:positionH>
                <wp:positionV relativeFrom="paragraph">
                  <wp:posOffset>168910</wp:posOffset>
                </wp:positionV>
                <wp:extent cx="368935" cy="0"/>
                <wp:effectExtent l="635" t="635" r="29210" b="10795"/>
                <wp:wrapNone/>
                <wp:docPr id="1040" name="オブジェクト 0"/>
                <a:graphic xmlns:a="http://schemas.openxmlformats.org/drawingml/2006/main">
                  <a:graphicData uri="http://schemas.microsoft.com/office/word/2010/wordprocessingShape">
                    <wps:wsp>
                      <wps:cNvPr id="1040" name="オブジェクト 0"/>
                      <wps:cNvSpPr/>
                      <wps:spPr>
                        <a:xfrm flipH="1">
                          <a:off x="0" y="0"/>
                          <a:ext cx="368935"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113;" o:spid="_x0000_s1040" o:allowincell="t" o:allowoverlap="t" filled="f" stroked="t" strokecolor="#000000 [3213]" strokeweight="0.5pt" o:spt="20" from="231pt,13.3pt" to="260.05pt,13.3pt">
                <v:fill/>
                <v:stroke linestyle="single" miterlimit="8" endcap="flat" dashstyle="solid" filltype="solid"/>
                <v:textbox style="layout-flow:horizontal;"/>
                <v:imagedata o:title=""/>
                <w10:wrap type="none" anchorx="text" anchory="text"/>
              </v:line>
            </w:pict>
          </mc:Fallback>
        </mc:AlternateContent>
      </w:r>
    </w:p>
    <w:p>
      <w:pPr>
        <w:pStyle w:val="0"/>
        <w:rPr>
          <w:rFonts w:hint="eastAsia" w:ascii="ＭＳ ゴシック" w:hAnsi="ＭＳ ゴシック" w:eastAsia="ＭＳ ゴシック"/>
          <w:color w:val="auto"/>
          <w:sz w:val="22"/>
        </w:rPr>
      </w:pPr>
      <w:r>
        <w:rPr>
          <w:rFonts w:hint="eastAsia"/>
          <w:color w:val="auto"/>
        </w:rPr>
        <mc:AlternateContent>
          <mc:Choice Requires="wps">
            <w:drawing>
              <wp:anchor distT="0" distB="0" distL="203200" distR="203200" simplePos="0" relativeHeight="15" behindDoc="0" locked="0" layoutInCell="1" hidden="0" allowOverlap="1">
                <wp:simplePos x="0" y="0"/>
                <wp:positionH relativeFrom="column">
                  <wp:posOffset>339090</wp:posOffset>
                </wp:positionH>
                <wp:positionV relativeFrom="paragraph">
                  <wp:posOffset>161290</wp:posOffset>
                </wp:positionV>
                <wp:extent cx="1143000" cy="350520"/>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wps:spPr>
                        <a:xfrm>
                          <a:off x="0" y="0"/>
                          <a:ext cx="1143000" cy="35052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ascii="ＭＳ ゴシック" w:hAnsi="ＭＳ ゴシック" w:eastAsia="ＭＳ ゴシック"/>
                                <w:color w:val="000000" w:themeColor="text1"/>
                              </w:rPr>
                              <w:t>各部長</w:t>
                            </w:r>
                          </w:p>
                        </w:txbxContent>
                      </wps:txbx>
                      <wps:bodyPr vertOverflow="overflow" horzOverflow="overflow" wrap="square" lIns="180000" anchor="ctr"/>
                    </wps:wsp>
                  </a:graphicData>
                </a:graphic>
              </wp:anchor>
            </w:drawing>
          </mc:Choice>
          <mc:Fallback>
            <w:pict>
              <v:rect id="オブジェクト 0" style="mso-wrap-distance-right:16pt;mso-wrap-distance-bottom:0pt;margin-top:12.7pt;mso-position-vertical-relative:text;mso-position-horizontal-relative:text;v-text-anchor:middle;position:absolute;height:27.6pt;mso-wrap-distance-top:0pt;width:90pt;mso-wrap-distance-left:16pt;margin-left:26.7pt;z-index:15;" o:spid="_x0000_s1041" o:allowincell="t" o:allowoverlap="t" filled="t" fillcolor="#ffffff [3212]" stroked="t" strokecolor="#000000 [3213]" strokeweight="1pt" o:spt="1">
                <v:fill/>
                <v:stroke linestyle="single" miterlimit="8" endcap="flat" dashstyle="solid" filltype="solid"/>
                <v:textbox style="layout-flow:horizontal;" inset="4.9999999999999991mm,,,">
                  <w:txbxContent>
                    <w:p>
                      <w:pPr>
                        <w:pStyle w:val="0"/>
                        <w:jc w:val="left"/>
                        <w:rPr>
                          <w:rFonts w:hint="eastAsia"/>
                        </w:rPr>
                      </w:pPr>
                      <w:r>
                        <w:rPr>
                          <w:rFonts w:hint="eastAsia" w:ascii="ＭＳ ゴシック" w:hAnsi="ＭＳ ゴシック" w:eastAsia="ＭＳ ゴシック"/>
                          <w:color w:val="000000" w:themeColor="text1"/>
                        </w:rPr>
                        <w:t>各部長</w:t>
                      </w:r>
                    </w:p>
                  </w:txbxContent>
                </v:textbox>
                <v:imagedata o:title=""/>
                <w10:wrap type="none" anchorx="text" anchory="text"/>
              </v:rect>
            </w:pict>
          </mc:Fallback>
        </mc:AlternateContent>
      </w:r>
      <w:r>
        <w:rPr>
          <w:rFonts w:hint="eastAsia"/>
          <w:color w:val="auto"/>
        </w:rPr>
        <mc:AlternateContent>
          <mc:Choice Requires="wps">
            <w:drawing>
              <wp:anchor distT="0" distB="0" distL="203200" distR="203200" simplePos="0" relativeHeight="116" behindDoc="0" locked="0" layoutInCell="1" hidden="0" allowOverlap="1">
                <wp:simplePos x="0" y="0"/>
                <wp:positionH relativeFrom="column">
                  <wp:posOffset>920750</wp:posOffset>
                </wp:positionH>
                <wp:positionV relativeFrom="paragraph">
                  <wp:posOffset>36195</wp:posOffset>
                </wp:positionV>
                <wp:extent cx="862330" cy="0"/>
                <wp:effectExtent l="635" t="635" r="29210" b="10795"/>
                <wp:wrapNone/>
                <wp:docPr id="1042" name="オブジェクト 0"/>
                <a:graphic xmlns:a="http://schemas.openxmlformats.org/drawingml/2006/main">
                  <a:graphicData uri="http://schemas.microsoft.com/office/word/2010/wordprocessingShape">
                    <wps:wsp>
                      <wps:cNvPr id="1042" name="オブジェクト 0"/>
                      <wps:cNvSpPr/>
                      <wps:spPr>
                        <a:xfrm flipH="1">
                          <a:off x="0" y="0"/>
                          <a:ext cx="862330"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116;" o:spid="_x0000_s1042" o:allowincell="t" o:allowoverlap="t" filled="f" stroked="t" strokecolor="#000000 [3213]" strokeweight="0.5pt" o:spt="20" from="72.5pt,2.85pt" to="140.4pt,2.85pt">
                <v:fill/>
                <v:stroke linestyle="single" miterlimit="8" endcap="flat" dashstyle="solid" filltype="solid"/>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6" behindDoc="0" locked="0" layoutInCell="1" hidden="0" allowOverlap="1">
                <wp:simplePos x="0" y="0"/>
                <wp:positionH relativeFrom="column">
                  <wp:posOffset>3282950</wp:posOffset>
                </wp:positionH>
                <wp:positionV relativeFrom="paragraph">
                  <wp:posOffset>90805</wp:posOffset>
                </wp:positionV>
                <wp:extent cx="2979420" cy="297180"/>
                <wp:effectExtent l="0" t="0" r="635" b="635"/>
                <wp:wrapNone/>
                <wp:docPr id="1043" name="オブジェクト 0"/>
                <a:graphic xmlns:a="http://schemas.openxmlformats.org/drawingml/2006/main">
                  <a:graphicData uri="http://schemas.microsoft.com/office/word/2010/wordprocessingShape">
                    <wps:wsp>
                      <wps:cNvPr id="1043" name="オブジェクト 0"/>
                      <wps:cNvSpPr txBox="1"/>
                      <wps:spPr>
                        <a:xfrm>
                          <a:off x="0" y="0"/>
                          <a:ext cx="2979420" cy="29718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・各取組の実施に向けた課題や効果などを検討</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15pt;mso-position-vertical-relative:text;mso-position-horizontal-relative:text;position:absolute;height:23.4pt;mso-wrap-distance-top:0pt;width:234.6pt;mso-wrap-distance-left:16pt;margin-left:258.5pt;z-index:6;" o:spid="_x0000_s104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・各取組の実施に向けた課題や効果などを検討</w:t>
                      </w:r>
                    </w:p>
                  </w:txbxContent>
                </v:textbox>
                <v:imagedata o:title=""/>
                <w10:wrap type="none" anchorx="text" anchory="text"/>
              </v:shape>
            </w:pict>
          </mc:Fallback>
        </mc:AlternateConten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color w:val="auto"/>
        </w:rPr>
        <mc:AlternateContent>
          <mc:Choice Requires="wps">
            <w:drawing>
              <wp:anchor distT="0" distB="0" distL="203200" distR="203200" simplePos="0" relativeHeight="114" behindDoc="0" locked="0" layoutInCell="1" hidden="0" allowOverlap="1">
                <wp:simplePos x="0" y="0"/>
                <wp:positionH relativeFrom="column">
                  <wp:posOffset>3128645</wp:posOffset>
                </wp:positionH>
                <wp:positionV relativeFrom="paragraph">
                  <wp:posOffset>213995</wp:posOffset>
                </wp:positionV>
                <wp:extent cx="179705" cy="0"/>
                <wp:effectExtent l="635" t="635" r="29210" b="10795"/>
                <wp:wrapNone/>
                <wp:docPr id="1044" name="オブジェクト 0"/>
                <a:graphic xmlns:a="http://schemas.openxmlformats.org/drawingml/2006/main">
                  <a:graphicData uri="http://schemas.microsoft.com/office/word/2010/wordprocessingShape">
                    <wps:wsp>
                      <wps:cNvPr id="1044" name="オブジェクト 0"/>
                      <wps:cNvSpPr/>
                      <wps:spPr>
                        <a:xfrm flipH="1">
                          <a:off x="0" y="0"/>
                          <a:ext cx="179705"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114;" o:spid="_x0000_s1044" o:allowincell="t" o:allowoverlap="t" filled="f" stroked="t" strokecolor="#000000 [3213]" strokeweight="0.5pt" o:spt="20" from="246.35000000000002pt,16.850000000000001pt" to="260.5pt,16.850000000000001pt">
                <v:fill/>
                <v:stroke linestyle="single" miterlimit="8" endcap="flat" dashstyle="solid" filltype="solid"/>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3302000</wp:posOffset>
                </wp:positionH>
                <wp:positionV relativeFrom="paragraph">
                  <wp:posOffset>46990</wp:posOffset>
                </wp:positionV>
                <wp:extent cx="2376170" cy="350520"/>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wps:spPr>
                        <a:xfrm>
                          <a:off x="0" y="0"/>
                          <a:ext cx="2376170" cy="35052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ascii="ＭＳ ゴシック" w:hAnsi="ＭＳ ゴシック" w:eastAsia="ＭＳ ゴシック"/>
                                <w:color w:val="000000" w:themeColor="text1"/>
                              </w:rPr>
                              <w:t>DX</w:t>
                            </w:r>
                            <w:r>
                              <w:rPr>
                                <w:rFonts w:hint="eastAsia" w:ascii="ＭＳ ゴシック" w:hAnsi="ＭＳ ゴシック" w:eastAsia="ＭＳ ゴシック"/>
                                <w:color w:val="000000" w:themeColor="text1"/>
                              </w:rPr>
                              <w:t>推進アドバイザー（外部委託）</w:t>
                            </w:r>
                          </w:p>
                          <w:p>
                            <w:pPr>
                              <w:pStyle w:val="0"/>
                              <w:jc w:val="left"/>
                              <w:rPr>
                                <w:rFonts w:hint="eastAsia"/>
                              </w:rPr>
                            </w:pPr>
                          </w:p>
                        </w:txbxContent>
                      </wps:txbx>
                      <wps:bodyPr vertOverflow="overflow" horzOverflow="overflow" wrap="square" lIns="180000" anchor="ctr"/>
                    </wps:wsp>
                  </a:graphicData>
                </a:graphic>
              </wp:anchor>
            </w:drawing>
          </mc:Choice>
          <mc:Fallback>
            <w:pict>
              <v:rect id="オブジェクト 0" style="mso-wrap-distance-right:16pt;mso-wrap-distance-bottom:0pt;margin-top:3.7pt;mso-position-vertical-relative:text;mso-position-horizontal-relative:text;v-text-anchor:middle;position:absolute;height:27.6pt;mso-wrap-distance-top:0pt;width:187.1pt;mso-wrap-distance-left:16pt;margin-left:260pt;z-index:3;" o:spid="_x0000_s1045" o:allowincell="t" o:allowoverlap="t" filled="t" fillcolor="#ffffff [3212]" stroked="t" strokecolor="#000000 [3213]" strokeweight="1pt" o:spt="1">
                <v:fill/>
                <v:stroke linestyle="single" miterlimit="8" endcap="flat" dashstyle="solid" filltype="solid"/>
                <v:textbox style="layout-flow:horizontal;" inset="4.9999999999999991mm,,,">
                  <w:txbxContent>
                    <w:p>
                      <w:pPr>
                        <w:pStyle w:val="0"/>
                        <w:jc w:val="left"/>
                        <w:rPr>
                          <w:rFonts w:hint="eastAsia"/>
                        </w:rPr>
                      </w:pPr>
                      <w:r>
                        <w:rPr>
                          <w:rFonts w:hint="eastAsia" w:ascii="ＭＳ ゴシック" w:hAnsi="ＭＳ ゴシック" w:eastAsia="ＭＳ ゴシック"/>
                          <w:color w:val="000000" w:themeColor="text1"/>
                        </w:rPr>
                        <w:t>DX</w:t>
                      </w:r>
                      <w:r>
                        <w:rPr>
                          <w:rFonts w:hint="eastAsia" w:ascii="ＭＳ ゴシック" w:hAnsi="ＭＳ ゴシック" w:eastAsia="ＭＳ ゴシック"/>
                          <w:color w:val="000000" w:themeColor="text1"/>
                        </w:rPr>
                        <w:t>推進アドバイザー（外部委託）</w:t>
                      </w:r>
                    </w:p>
                    <w:p>
                      <w:pPr>
                        <w:pStyle w:val="0"/>
                        <w:jc w:val="left"/>
                        <w:rPr>
                          <w:rFonts w:hint="eastAsia"/>
                        </w:rPr>
                      </w:pPr>
                    </w:p>
                  </w:txbxContent>
                </v:textbox>
                <v:imagedata o:title=""/>
                <w10:wrap type="none" anchorx="text" anchory="text"/>
              </v:rect>
            </w:pict>
          </mc:Fallback>
        </mc:AlternateContent>
      </w:r>
    </w:p>
    <w:p>
      <w:pPr>
        <w:pStyle w:val="0"/>
        <w:rPr>
          <w:rFonts w:hint="eastAsia" w:ascii="ＭＳ ゴシック" w:hAnsi="ＭＳ ゴシック" w:eastAsia="ＭＳ ゴシック"/>
          <w:color w:val="auto"/>
          <w:sz w:val="22"/>
        </w:rPr>
      </w:pPr>
      <w:r>
        <w:rPr>
          <w:rFonts w:hint="eastAsia"/>
          <w:color w:val="auto"/>
        </w:rPr>
        <mc:AlternateContent>
          <mc:Choice Requires="wps">
            <w:drawing>
              <wp:anchor distT="0" distB="0" distL="203200" distR="203200" simplePos="0" relativeHeight="7" behindDoc="0" locked="0" layoutInCell="1" hidden="0" allowOverlap="1">
                <wp:simplePos x="0" y="0"/>
                <wp:positionH relativeFrom="column">
                  <wp:posOffset>3281680</wp:posOffset>
                </wp:positionH>
                <wp:positionV relativeFrom="paragraph">
                  <wp:posOffset>147955</wp:posOffset>
                </wp:positionV>
                <wp:extent cx="2979420" cy="297180"/>
                <wp:effectExtent l="0" t="0" r="635" b="635"/>
                <wp:wrapNone/>
                <wp:docPr id="1046" name="オブジェクト 0"/>
                <a:graphic xmlns:a="http://schemas.openxmlformats.org/drawingml/2006/main">
                  <a:graphicData uri="http://schemas.microsoft.com/office/word/2010/wordprocessingShape">
                    <wps:wsp>
                      <wps:cNvPr id="1046" name="オブジェクト 0"/>
                      <wps:cNvSpPr txBox="1"/>
                      <wps:spPr>
                        <a:xfrm>
                          <a:off x="0" y="0"/>
                          <a:ext cx="2979420" cy="29718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DX</w:t>
                            </w:r>
                            <w:r>
                              <w:rPr>
                                <w:rFonts w:hint="eastAsia" w:ascii="ＭＳ ゴシック" w:hAnsi="ＭＳ ゴシック" w:eastAsia="ＭＳ ゴシック"/>
                                <w:sz w:val="18"/>
                              </w:rPr>
                              <w:t>推進を強力に進めるための技術支援や助言</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65pt;mso-position-vertical-relative:text;mso-position-horizontal-relative:text;position:absolute;height:23.4pt;mso-wrap-distance-top:0pt;width:234.6pt;mso-wrap-distance-left:16pt;margin-left:258.39pt;z-index:7;" o:spid="_x0000_s104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DX</w:t>
                      </w:r>
                      <w:r>
                        <w:rPr>
                          <w:rFonts w:hint="eastAsia" w:ascii="ＭＳ ゴシック" w:hAnsi="ＭＳ ゴシック" w:eastAsia="ＭＳ ゴシック"/>
                          <w:sz w:val="18"/>
                        </w:rPr>
                        <w:t>推進を強力に進めるための技術支援や助言</w:t>
                      </w:r>
                    </w:p>
                  </w:txbxContent>
                </v:textbox>
                <v:imagedata o:title=""/>
                <w10:wrap type="none" anchorx="text" anchory="text"/>
              </v:shape>
            </w:pict>
          </mc:Fallback>
        </mc:AlternateConten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p>
    <w:p>
      <w:pPr>
        <w:pStyle w:val="0"/>
        <w:ind w:firstLine="220"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CIO</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Chief Information Officer</w:t>
      </w:r>
      <w:r>
        <w:rPr>
          <w:rFonts w:hint="eastAsia" w:ascii="ＭＳ ゴシック" w:hAnsi="ＭＳ ゴシック" w:eastAsia="ＭＳ ゴシック"/>
          <w:color w:val="auto"/>
          <w:sz w:val="22"/>
        </w:rPr>
        <w:t>）～最高情報統括責任者（行政の情報化全体を指導統括）</w:t>
      </w:r>
    </w:p>
    <w:p>
      <w:pPr>
        <w:pStyle w:val="0"/>
        <w:ind w:firstLine="220" w:firstLineChars="100"/>
        <w:rPr>
          <w:rFonts w:hint="eastAsia" w:ascii="ＭＳ ゴシック" w:hAnsi="ＭＳ ゴシック" w:eastAsia="ＭＳ ゴシック"/>
          <w:color w:val="auto"/>
        </w:rPr>
      </w:pP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CISO</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Chief Information Security Officer</w:t>
      </w:r>
      <w:r>
        <w:rPr>
          <w:rFonts w:hint="eastAsia" w:ascii="ＭＳ ゴシック" w:hAnsi="ＭＳ ゴシック" w:eastAsia="ＭＳ ゴシック"/>
          <w:color w:val="auto"/>
          <w:sz w:val="22"/>
        </w:rPr>
        <w:t>）～最高情報セキュリティ責任者</w:t>
      </w:r>
    </w:p>
    <w:p>
      <w:pPr>
        <w:pStyle w:val="0"/>
        <w:ind w:firstLine="210" w:firstLineChars="100"/>
        <w:rPr>
          <w:rFonts w:hint="eastAsia" w:ascii="ＭＳ ゴシック" w:hAnsi="ＭＳ ゴシック" w:eastAsia="ＭＳ ゴシック"/>
          <w:color w:val="auto"/>
        </w:rPr>
      </w:pPr>
    </w:p>
    <w:p>
      <w:pPr>
        <w:pStyle w:val="0"/>
        <w:outlineLvl w:val="1"/>
        <w:rPr>
          <w:rFonts w:hint="eastAsia" w:ascii="ＭＳ ゴシック" w:hAnsi="ＭＳ ゴシック" w:eastAsia="ＭＳ ゴシック"/>
          <w:color w:val="auto"/>
          <w:sz w:val="22"/>
          <w:shd w:val="clear" w:color="auto" w:fill="auto"/>
        </w:rPr>
      </w:pPr>
      <w:bookmarkStart w:id="77" w:name="_Toc11353"/>
      <w:bookmarkStart w:id="78" w:name="_Toc11426"/>
      <w:bookmarkStart w:id="79" w:name="_Toc2125"/>
      <w:bookmarkStart w:id="80" w:name="_Toc23978"/>
      <w:bookmarkStart w:id="81" w:name="_Toc25116"/>
      <w:bookmarkStart w:id="82" w:name="_Toc25538"/>
      <w:bookmarkStart w:id="83" w:name="_Toc26148"/>
      <w:bookmarkStart w:id="84" w:name="_Toc26538"/>
      <w:bookmarkStart w:id="85" w:name="_Toc27164"/>
      <w:bookmarkStart w:id="86" w:name="_Toc27838"/>
      <w:bookmarkStart w:id="87" w:name="_Toc32745"/>
      <w:bookmarkStart w:id="88" w:name="_Toc5798"/>
      <w:bookmarkStart w:id="89" w:name="_Toc6016"/>
      <w:bookmarkStart w:id="90" w:name="_Toc7068"/>
      <w:r>
        <w:rPr>
          <w:rFonts w:hint="eastAsia" w:ascii="ＭＳ ゴシック" w:hAnsi="ＭＳ ゴシック" w:eastAsia="ＭＳ ゴシック"/>
          <w:color w:val="auto"/>
          <w:sz w:val="24"/>
          <w:shd w:val="clear" w:color="auto" w:fill="auto"/>
        </w:rPr>
        <w:t xml:space="preserve">4.2 </w:t>
      </w:r>
      <w:r>
        <w:rPr>
          <w:rFonts w:hint="eastAsia" w:ascii="ＭＳ ゴシック" w:hAnsi="ＭＳ ゴシック" w:eastAsia="ＭＳ ゴシック"/>
          <w:color w:val="auto"/>
          <w:sz w:val="24"/>
          <w:shd w:val="clear" w:color="auto" w:fill="auto"/>
        </w:rPr>
        <w:t>デジタル人材の確保・育成</w:t>
      </w:r>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0"/>
        <w:ind w:firstLine="220" w:firstLineChars="100"/>
        <w:rPr>
          <w:rFonts w:hint="eastAsia" w:ascii="ＭＳ ゴシック" w:hAnsi="ＭＳ ゴシック" w:eastAsia="ＭＳ ゴシック"/>
          <w:color w:val="auto"/>
          <w:sz w:val="22"/>
          <w:shd w:val="clear" w:color="auto" w:fill="auto"/>
        </w:rPr>
      </w:pPr>
      <w:r>
        <w:rPr>
          <w:rFonts w:hint="eastAsia" w:ascii="ＭＳ ゴシック" w:hAnsi="ＭＳ ゴシック" w:eastAsia="ＭＳ ゴシック"/>
          <w:color w:val="auto"/>
          <w:sz w:val="22"/>
          <w:shd w:val="clear" w:color="auto" w:fill="auto"/>
        </w:rPr>
        <w:t>・積極的に</w:t>
      </w:r>
      <w:r>
        <w:rPr>
          <w:rFonts w:hint="eastAsia" w:ascii="ＭＳ ゴシック" w:hAnsi="ＭＳ ゴシック" w:eastAsia="ＭＳ ゴシック"/>
          <w:color w:val="auto"/>
          <w:sz w:val="22"/>
          <w:shd w:val="clear" w:color="auto" w:fill="auto"/>
        </w:rPr>
        <w:t>DX</w:t>
      </w:r>
      <w:r>
        <w:rPr>
          <w:rFonts w:hint="eastAsia" w:ascii="ＭＳ ゴシック" w:hAnsi="ＭＳ ゴシック" w:eastAsia="ＭＳ ゴシック"/>
          <w:color w:val="auto"/>
          <w:sz w:val="22"/>
          <w:shd w:val="clear" w:color="auto" w:fill="auto"/>
        </w:rPr>
        <w:t>を推進するにあたり、外部委託によるデジタル専門人材の活用を図ります。</w:t>
      </w:r>
    </w:p>
    <w:p>
      <w:pPr>
        <w:pStyle w:val="0"/>
        <w:ind w:left="430" w:leftChars="100" w:hanging="220" w:hangingChars="100"/>
        <w:rPr>
          <w:rFonts w:hint="eastAsia" w:ascii="ＭＳ ゴシック" w:hAnsi="ＭＳ ゴシック" w:eastAsia="ＭＳ ゴシック"/>
          <w:color w:val="auto"/>
          <w:sz w:val="22"/>
          <w:shd w:val="clear" w:color="auto" w:fill="auto"/>
        </w:rPr>
      </w:pPr>
      <w:r>
        <w:rPr>
          <w:rFonts w:hint="eastAsia" w:ascii="ＭＳ ゴシック" w:hAnsi="ＭＳ ゴシック" w:eastAsia="ＭＳ ゴシック"/>
          <w:color w:val="auto"/>
          <w:sz w:val="22"/>
          <w:shd w:val="clear" w:color="auto" w:fill="auto"/>
        </w:rPr>
        <w:t>・</w:t>
      </w:r>
      <w:r>
        <w:rPr>
          <w:rFonts w:hint="eastAsia" w:ascii="ＭＳ ゴシック" w:hAnsi="ＭＳ ゴシック" w:eastAsia="ＭＳ ゴシック"/>
          <w:color w:val="auto"/>
          <w:sz w:val="22"/>
          <w:shd w:val="clear" w:color="auto" w:fill="auto"/>
        </w:rPr>
        <w:t>DX</w:t>
      </w:r>
      <w:r>
        <w:rPr>
          <w:rFonts w:hint="eastAsia" w:ascii="ＭＳ ゴシック" w:hAnsi="ＭＳ ゴシック" w:eastAsia="ＭＳ ゴシック"/>
          <w:color w:val="auto"/>
          <w:sz w:val="22"/>
          <w:shd w:val="clear" w:color="auto" w:fill="auto"/>
        </w:rPr>
        <w:t>推進担当職員においては、先端デジタル技術に関する研修の受講や先進地視察を通じて専門性の向上を図ります。</w:t>
      </w:r>
    </w:p>
    <w:p>
      <w:pPr>
        <w:pStyle w:val="0"/>
        <w:ind w:left="430" w:leftChars="100" w:hanging="220" w:hangingChars="100"/>
        <w:rPr>
          <w:rFonts w:hint="eastAsia" w:ascii="ＭＳ ゴシック" w:hAnsi="ＭＳ ゴシック" w:eastAsia="ＭＳ ゴシック"/>
          <w:color w:val="auto"/>
          <w:sz w:val="22"/>
          <w:shd w:val="clear" w:color="auto" w:fill="auto"/>
        </w:rPr>
      </w:pPr>
      <w:r>
        <w:rPr>
          <w:rFonts w:hint="eastAsia" w:ascii="ＭＳ ゴシック" w:hAnsi="ＭＳ ゴシック" w:eastAsia="ＭＳ ゴシック"/>
          <w:color w:val="auto"/>
          <w:sz w:val="22"/>
          <w:shd w:val="clear" w:color="auto" w:fill="auto"/>
        </w:rPr>
        <w:t>・</w:t>
      </w:r>
      <w:r>
        <w:rPr>
          <w:rFonts w:hint="eastAsia" w:ascii="ＭＳ ゴシック" w:hAnsi="ＭＳ ゴシック" w:eastAsia="ＭＳ ゴシック"/>
          <w:color w:val="auto"/>
          <w:sz w:val="22"/>
          <w:shd w:val="clear" w:color="auto" w:fill="auto"/>
        </w:rPr>
        <w:t>DX</w:t>
      </w:r>
      <w:r>
        <w:rPr>
          <w:rFonts w:hint="eastAsia" w:ascii="ＭＳ ゴシック" w:hAnsi="ＭＳ ゴシック" w:eastAsia="ＭＳ ゴシック"/>
          <w:color w:val="auto"/>
          <w:sz w:val="22"/>
          <w:shd w:val="clear" w:color="auto" w:fill="auto"/>
        </w:rPr>
        <w:t>リーダーの育成のため、職員研修の実施や先端デジタル技術等にかかる情報共有を図ります。</w:t>
      </w:r>
    </w:p>
    <w:p>
      <w:pPr>
        <w:pStyle w:val="0"/>
        <w:ind w:leftChars="0" w:firstLine="0" w:firstLineChars="0"/>
        <w:rPr>
          <w:rFonts w:hint="eastAsia" w:ascii="ＭＳ ゴシック" w:hAnsi="ＭＳ ゴシック" w:eastAsia="ＭＳ ゴシック"/>
          <w:color w:val="auto"/>
          <w:shd w:val="clear" w:color="auto" w:fill="auto"/>
        </w:rPr>
      </w:pPr>
    </w:p>
    <w:p>
      <w:pPr>
        <w:pStyle w:val="0"/>
        <w:ind w:leftChars="0" w:firstLine="0" w:firstLineChars="0"/>
        <w:rPr>
          <w:rFonts w:hint="eastAsia" w:ascii="ＭＳ ゴシック" w:hAnsi="ＭＳ ゴシック" w:eastAsia="ＭＳ ゴシック"/>
          <w:color w:val="auto"/>
          <w:shd w:val="clear" w:color="auto" w:fill="auto"/>
        </w:rPr>
      </w:pPr>
    </w:p>
    <w:p>
      <w:pPr>
        <w:pStyle w:val="0"/>
        <w:outlineLvl w:val="0"/>
        <w:rPr>
          <w:rFonts w:hint="eastAsia" w:ascii="ＭＳ ゴシック" w:hAnsi="ＭＳ ゴシック" w:eastAsia="ＭＳ ゴシック"/>
          <w:color w:val="auto"/>
          <w:shd w:val="clear" w:color="auto" w:fill="auto"/>
        </w:rPr>
      </w:pPr>
      <w:bookmarkStart w:id="91" w:name="_Toc10611"/>
      <w:bookmarkStart w:id="92" w:name="_Toc10985"/>
      <w:bookmarkStart w:id="93" w:name="_Toc11438"/>
      <w:bookmarkStart w:id="94" w:name="_Toc15133"/>
      <w:bookmarkStart w:id="95" w:name="_Toc19294"/>
      <w:bookmarkStart w:id="96" w:name="_Toc27301"/>
      <w:bookmarkStart w:id="97" w:name="_Toc29516"/>
      <w:bookmarkStart w:id="98" w:name="_Toc32204"/>
      <w:bookmarkStart w:id="99" w:name="_Toc3325"/>
      <w:bookmarkStart w:id="100" w:name="_Toc4581"/>
      <w:bookmarkStart w:id="101" w:name="_Toc6317"/>
      <w:bookmarkStart w:id="102" w:name="_Toc7947"/>
      <w:bookmarkStart w:id="103" w:name="_Toc8470"/>
      <w:bookmarkStart w:id="104" w:name="_Toc9590"/>
      <w:r>
        <w:rPr>
          <w:rFonts w:hint="eastAsia" w:ascii="ＭＳ ゴシック" w:hAnsi="ＭＳ ゴシック" w:eastAsia="ＭＳ ゴシック"/>
          <w:color w:val="auto"/>
          <w:sz w:val="28"/>
          <w:u w:val="single" w:color="auto"/>
          <w:shd w:val="clear" w:color="auto" w:fill="auto"/>
        </w:rPr>
        <w:t>5. DX</w:t>
      </w:r>
      <w:r>
        <w:rPr>
          <w:rFonts w:hint="eastAsia" w:ascii="ＭＳ ゴシック" w:hAnsi="ＭＳ ゴシック" w:eastAsia="ＭＳ ゴシック"/>
          <w:color w:val="auto"/>
          <w:sz w:val="28"/>
          <w:u w:val="single" w:color="auto"/>
          <w:shd w:val="clear" w:color="auto" w:fill="auto"/>
        </w:rPr>
        <w:t>推進方針</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0"/>
        <w:outlineLvl w:val="1"/>
        <w:rPr>
          <w:rFonts w:hint="eastAsia" w:ascii="ＭＳ ゴシック" w:hAnsi="ＭＳ ゴシック" w:eastAsia="ＭＳ ゴシック"/>
          <w:color w:val="auto"/>
        </w:rPr>
      </w:pPr>
      <w:bookmarkStart w:id="105" w:name="_Toc10980"/>
      <w:bookmarkStart w:id="106" w:name="_Toc11058"/>
      <w:bookmarkStart w:id="107" w:name="_Toc14282"/>
      <w:bookmarkStart w:id="108" w:name="_Toc15582"/>
      <w:bookmarkStart w:id="109" w:name="_Toc15761"/>
      <w:bookmarkStart w:id="110" w:name="_Toc17806"/>
      <w:bookmarkStart w:id="111" w:name="_Toc19719"/>
      <w:bookmarkStart w:id="112" w:name="_Toc23521"/>
      <w:bookmarkStart w:id="113" w:name="_Toc30306"/>
      <w:bookmarkStart w:id="114" w:name="_Toc30892"/>
      <w:bookmarkStart w:id="115" w:name="_Toc3113"/>
      <w:bookmarkStart w:id="116" w:name="_Toc3301"/>
      <w:bookmarkStart w:id="117" w:name="_Toc6155"/>
      <w:bookmarkStart w:id="118" w:name="_Toc666"/>
      <w:r>
        <w:rPr>
          <w:rFonts w:hint="eastAsia" w:ascii="ＭＳ ゴシック" w:hAnsi="ＭＳ ゴシック" w:eastAsia="ＭＳ ゴシック"/>
          <w:color w:val="auto"/>
          <w:sz w:val="24"/>
          <w:u w:val="none" w:color="auto"/>
          <w:shd w:val="clear" w:color="auto" w:fill="auto"/>
        </w:rPr>
        <w:t xml:space="preserve">5.1 </w:t>
      </w:r>
      <w:r>
        <w:rPr>
          <w:rFonts w:hint="eastAsia" w:ascii="ＭＳ ゴシック" w:hAnsi="ＭＳ ゴシック" w:eastAsia="ＭＳ ゴシック"/>
          <w:color w:val="auto"/>
          <w:sz w:val="24"/>
          <w:u w:val="none" w:color="auto"/>
          <w:shd w:val="clear" w:color="auto" w:fill="auto"/>
        </w:rPr>
        <w:t>全体推進方針</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0"/>
        <w:ind w:left="0" w:leftChars="0" w:firstLine="220" w:firstLineChars="100"/>
        <w:rPr>
          <w:rFonts w:hint="eastAsia" w:ascii="ＭＳ ゴシック" w:hAnsi="ＭＳ ゴシック" w:eastAsia="ＭＳ ゴシック"/>
          <w:color w:val="auto"/>
        </w:rPr>
      </w:pPr>
      <w:r>
        <w:rPr>
          <w:rFonts w:hint="eastAsia" w:ascii="ＭＳ ゴシック" w:hAnsi="ＭＳ ゴシック" w:eastAsia="ＭＳ ゴシック"/>
          <w:b w:val="1"/>
          <w:color w:val="auto"/>
          <w:sz w:val="22"/>
          <w:u w:val="wave" w:color="auto"/>
        </w:rPr>
        <w:t>Society5.0</w:t>
      </w:r>
      <w:r>
        <w:rPr>
          <w:rFonts w:hint="eastAsia" w:ascii="ＭＳ ゴシック" w:hAnsi="ＭＳ ゴシック" w:eastAsia="ＭＳ ゴシック"/>
          <w:b w:val="1"/>
          <w:color w:val="auto"/>
          <w:sz w:val="22"/>
          <w:u w:val="wave" w:color="auto"/>
        </w:rPr>
        <w:t>の実現に向けて、利便性と安全性を備えた質の高い住民サービスの提供や効率的・効果的な行政運営及び地域課題の解決を目的として、</w:t>
      </w:r>
      <w:r>
        <w:rPr>
          <w:rFonts w:hint="eastAsia" w:ascii="ＭＳ ゴシック" w:hAnsi="ＭＳ ゴシック" w:eastAsia="ＭＳ ゴシック"/>
          <w:b w:val="1"/>
          <w:color w:val="auto"/>
          <w:sz w:val="22"/>
          <w:u w:val="wave" w:color="auto"/>
        </w:rPr>
        <w:t>ICT</w:t>
      </w:r>
      <w:r>
        <w:rPr>
          <w:rFonts w:hint="eastAsia" w:ascii="ＭＳ ゴシック" w:hAnsi="ＭＳ ゴシック" w:eastAsia="ＭＳ ゴシック"/>
          <w:b w:val="1"/>
          <w:color w:val="auto"/>
          <w:sz w:val="22"/>
          <w:u w:val="wave" w:color="auto"/>
        </w:rPr>
        <w:t>を積極的に導入・利活用した自治体</w:t>
      </w:r>
      <w:r>
        <w:rPr>
          <w:rFonts w:hint="eastAsia" w:ascii="ＭＳ ゴシック" w:hAnsi="ＭＳ ゴシック" w:eastAsia="ＭＳ ゴシック"/>
          <w:b w:val="1"/>
          <w:color w:val="auto"/>
          <w:sz w:val="22"/>
          <w:u w:val="wave" w:color="auto"/>
        </w:rPr>
        <w:t>DX</w:t>
      </w:r>
      <w:r>
        <w:rPr>
          <w:rFonts w:hint="eastAsia" w:ascii="ＭＳ ゴシック" w:hAnsi="ＭＳ ゴシック" w:eastAsia="ＭＳ ゴシック"/>
          <w:b w:val="1"/>
          <w:color w:val="auto"/>
          <w:sz w:val="22"/>
          <w:u w:val="wave" w:color="auto"/>
        </w:rPr>
        <w:t>の推進を図</w:t>
      </w:r>
      <w:r>
        <w:rPr>
          <w:rFonts w:hint="eastAsia"/>
          <w:color w:val="auto"/>
        </w:rPr>
        <mc:AlternateContent>
          <mc:Choice Requires="wps">
            <w:drawing>
              <wp:anchor distT="0" distB="0" distL="203200" distR="203200" simplePos="0" relativeHeight="17" behindDoc="0" locked="0" layoutInCell="1" hidden="0" allowOverlap="1">
                <wp:simplePos x="0" y="0"/>
                <wp:positionH relativeFrom="column">
                  <wp:posOffset>2844165</wp:posOffset>
                </wp:positionH>
                <wp:positionV relativeFrom="paragraph">
                  <wp:posOffset>662940</wp:posOffset>
                </wp:positionV>
                <wp:extent cx="499745" cy="368935"/>
                <wp:effectExtent l="1270" t="635" r="30480" b="10795"/>
                <wp:wrapNone/>
                <wp:docPr id="1047" name="オブジェクト 0"/>
                <a:graphic xmlns:a="http://schemas.openxmlformats.org/drawingml/2006/main">
                  <a:graphicData uri="http://schemas.microsoft.com/office/word/2010/wordprocessingShape">
                    <wps:wsp>
                      <wps:cNvPr id="1047" name="オブジェクト 0"/>
                      <wps:cNvSpPr/>
                      <wps:spPr>
                        <a:xfrm>
                          <a:off x="0" y="0"/>
                          <a:ext cx="499745" cy="368935"/>
                        </a:xfrm>
                        <a:prstGeom prst="upArrow">
                          <a:avLst/>
                        </a:prstGeom>
                        <a:solidFill>
                          <a:schemeClr val="accent5">
                            <a:lumMod val="40000"/>
                            <a:lumOff val="60000"/>
                          </a:schemeClr>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2.2pt;mso-position-vertical-relative:text;mso-position-horizontal-relative:text;position:absolute;height:29.05pt;mso-wrap-distance-top:0pt;width:39.35pt;mso-wrap-distance-left:16pt;margin-left:223.95pt;z-index:17;" o:spid="_x0000_s1047" o:allowincell="t" o:allowoverlap="t" filled="t" fillcolor="#b5c7e8 [1304]" stroked="t" strokecolor="#000000 [3213]" strokeweight="1.5pt" o:spt="68" type="#_x0000_t68" adj="10800,5400">
                <v:fill/>
                <v:stroke linestyle="single" miterlimit="8" endcap="flat" dashstyle="solid" filltype="solid"/>
                <v:textbox style="layout-flow:horizontal;"/>
                <v:imagedata o:title=""/>
                <w10:wrap type="none" anchorx="text" anchory="text"/>
              </v:shape>
            </w:pict>
          </mc:Fallback>
        </mc:AlternateContent>
      </w:r>
      <w:r>
        <w:rPr>
          <w:rFonts w:hint="eastAsia" w:ascii="ＭＳ ゴシック" w:hAnsi="ＭＳ ゴシック" w:eastAsia="ＭＳ ゴシック"/>
          <w:b w:val="1"/>
          <w:color w:val="auto"/>
          <w:sz w:val="22"/>
          <w:u w:val="wave" w:color="auto"/>
        </w:rPr>
        <w:t>ります。</w:t>
      </w:r>
    </w:p>
    <w:p>
      <w:pPr>
        <w:pStyle w:val="0"/>
        <w:ind w:left="0" w:leftChars="0" w:firstLine="210" w:firstLineChars="10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-62865</wp:posOffset>
                </wp:positionH>
                <wp:positionV relativeFrom="paragraph">
                  <wp:posOffset>189230</wp:posOffset>
                </wp:positionV>
                <wp:extent cx="6358255" cy="5798185"/>
                <wp:effectExtent l="635" t="635" r="29845" b="10795"/>
                <wp:wrapNone/>
                <wp:docPr id="1048" name="オブジェクト 0"/>
                <a:graphic xmlns:a="http://schemas.openxmlformats.org/drawingml/2006/main">
                  <a:graphicData uri="http://schemas.microsoft.com/office/word/2010/wordprocessingShape">
                    <wps:wsp>
                      <wps:cNvPr id="1048" name="オブジェクト 0"/>
                      <wps:cNvSpPr/>
                      <wps:spPr>
                        <a:xfrm>
                          <a:off x="0" y="0"/>
                          <a:ext cx="6358255" cy="5798185"/>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4.9pt;mso-position-vertical-relative:text;mso-position-horizontal-relative:text;position:absolute;height:456.55pt;mso-wrap-distance-top:0pt;width:500.65pt;mso-wrap-distance-left:16pt;margin-left:-4.95pt;z-index:2;" o:spid="_x0000_s1048" o:allowincell="t" o:allowoverlap="t" filled="f" stroked="t" strokecolor="#000000 [3213]" strokeweight="0.75pt" o:spt="1">
                <v:fill/>
                <v:stroke linestyle="single" miterlimit="8" endcap="flat" dashstyle="solid" filltype="solid"/>
                <v:textbox style="layout-flow:horizontal;"/>
                <v:imagedata o:title=""/>
                <w10:wrap type="none" anchorx="text" anchory="text"/>
              </v:rect>
            </w:pict>
          </mc:Fallback>
        </mc:AlternateContent>
      </w: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◆「自治体デジタル・トランスフォーメーション（</w:t>
      </w:r>
      <w:r>
        <w:rPr>
          <w:rFonts w:hint="eastAsia" w:ascii="ＭＳ ゴシック" w:hAnsi="ＭＳ ゴシック" w:eastAsia="ＭＳ ゴシック"/>
          <w:color w:val="auto"/>
          <w:sz w:val="22"/>
        </w:rPr>
        <w:t>DX</w:t>
      </w:r>
      <w:r>
        <w:rPr>
          <w:rFonts w:hint="eastAsia" w:ascii="ＭＳ ゴシック" w:hAnsi="ＭＳ ゴシック" w:eastAsia="ＭＳ ゴシック"/>
          <w:color w:val="auto"/>
          <w:sz w:val="22"/>
        </w:rPr>
        <w:t>）推進計画」（令和</w:t>
      </w:r>
      <w:r>
        <w:rPr>
          <w:rFonts w:hint="eastAsia" w:ascii="ＭＳ ゴシック" w:hAnsi="ＭＳ ゴシック" w:eastAsia="ＭＳ ゴシック"/>
          <w:color w:val="auto"/>
          <w:sz w:val="22"/>
        </w:rPr>
        <w:t>2</w:t>
      </w:r>
      <w:r>
        <w:rPr>
          <w:rFonts w:hint="eastAsia" w:ascii="ＭＳ ゴシック" w:hAnsi="ＭＳ ゴシック" w:eastAsia="ＭＳ ゴシック"/>
          <w:color w:val="auto"/>
          <w:sz w:val="22"/>
        </w:rPr>
        <w:t>年</w:t>
      </w:r>
      <w:r>
        <w:rPr>
          <w:rFonts w:hint="eastAsia" w:ascii="ＭＳ ゴシック" w:hAnsi="ＭＳ ゴシック" w:eastAsia="ＭＳ ゴシック"/>
          <w:color w:val="auto"/>
          <w:sz w:val="22"/>
        </w:rPr>
        <w:t>12</w:t>
      </w:r>
      <w:r>
        <w:rPr>
          <w:rFonts w:hint="eastAsia" w:ascii="ＭＳ ゴシック" w:hAnsi="ＭＳ ゴシック" w:eastAsia="ＭＳ ゴシック"/>
          <w:color w:val="auto"/>
          <w:sz w:val="22"/>
        </w:rPr>
        <w:t>月</w:t>
      </w:r>
      <w:r>
        <w:rPr>
          <w:rFonts w:hint="eastAsia" w:ascii="ＭＳ ゴシック" w:hAnsi="ＭＳ ゴシック" w:eastAsia="ＭＳ ゴシック"/>
          <w:color w:val="auto"/>
          <w:sz w:val="22"/>
        </w:rPr>
        <w:t>25</w:t>
      </w:r>
      <w:r>
        <w:rPr>
          <w:rFonts w:hint="eastAsia" w:ascii="ＭＳ ゴシック" w:hAnsi="ＭＳ ゴシック" w:eastAsia="ＭＳ ゴシック"/>
          <w:color w:val="auto"/>
          <w:sz w:val="22"/>
        </w:rPr>
        <w:t>日総務省）</w:t>
      </w:r>
    </w:p>
    <w:p>
      <w:pPr>
        <w:pStyle w:val="0"/>
        <w:ind w:left="630" w:leftChars="200" w:hanging="21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○自治体においては、まずは、</w:t>
      </w:r>
    </w:p>
    <w:p>
      <w:pPr>
        <w:pStyle w:val="0"/>
        <w:ind w:left="1060" w:leftChars="4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・自らが担う行政サービスについて、デジタル技術やデータを活用して、</w:t>
      </w:r>
      <w:r>
        <w:rPr>
          <w:rFonts w:hint="eastAsia" w:ascii="ＭＳ ゴシック" w:hAnsi="ＭＳ ゴシック" w:eastAsia="ＭＳ ゴシック"/>
          <w:color w:val="auto"/>
          <w:sz w:val="22"/>
          <w:u w:val="single" w:color="auto"/>
        </w:rPr>
        <w:t>住民の利便性を向上させる</w:t>
      </w:r>
      <w:r>
        <w:rPr>
          <w:rFonts w:hint="eastAsia" w:ascii="ＭＳ ゴシック" w:hAnsi="ＭＳ ゴシック" w:eastAsia="ＭＳ ゴシック"/>
          <w:color w:val="auto"/>
          <w:sz w:val="22"/>
        </w:rPr>
        <w:t>とともに、</w:t>
      </w:r>
    </w:p>
    <w:p>
      <w:pPr>
        <w:pStyle w:val="0"/>
        <w:ind w:left="1060" w:leftChars="4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・デジタル技術や</w:t>
      </w:r>
      <w:r>
        <w:rPr>
          <w:rFonts w:hint="eastAsia" w:ascii="ＭＳ ゴシック" w:hAnsi="ＭＳ ゴシック" w:eastAsia="ＭＳ ゴシック"/>
          <w:color w:val="auto"/>
          <w:sz w:val="22"/>
        </w:rPr>
        <w:t>AI</w:t>
      </w:r>
      <w:r>
        <w:rPr>
          <w:rFonts w:hint="eastAsia" w:ascii="ＭＳ ゴシック" w:hAnsi="ＭＳ ゴシック" w:eastAsia="ＭＳ ゴシック"/>
          <w:color w:val="auto"/>
          <w:sz w:val="22"/>
        </w:rPr>
        <w:t>等の活用により</w:t>
      </w:r>
      <w:r>
        <w:rPr>
          <w:rFonts w:hint="eastAsia" w:ascii="ＭＳ ゴシック" w:hAnsi="ＭＳ ゴシック" w:eastAsia="ＭＳ ゴシック"/>
          <w:color w:val="auto"/>
          <w:sz w:val="22"/>
          <w:u w:val="single" w:color="auto"/>
        </w:rPr>
        <w:t>業務効率化を図り</w:t>
      </w:r>
      <w:r>
        <w:rPr>
          <w:rFonts w:hint="eastAsia" w:ascii="ＭＳ ゴシック" w:hAnsi="ＭＳ ゴシック" w:eastAsia="ＭＳ ゴシック"/>
          <w:color w:val="auto"/>
          <w:sz w:val="22"/>
        </w:rPr>
        <w:t>、人的資源を行政サービスの更なる向上に繋げていくこと</w:t>
      </w:r>
    </w:p>
    <w:p>
      <w:pPr>
        <w:pStyle w:val="0"/>
        <w:ind w:left="660" w:hanging="660" w:hangingChars="3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〇さらには、</w:t>
      </w:r>
    </w:p>
    <w:p>
      <w:pPr>
        <w:pStyle w:val="0"/>
        <w:ind w:left="1060" w:leftChars="4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・データが価値創造の源泉であることについて認識を共有し、データの様式の統一化等を図りつつ、多様な主体によるデータの円滑な流通を促進することによって、</w:t>
      </w:r>
      <w:r>
        <w:rPr>
          <w:rFonts w:hint="eastAsia" w:ascii="ＭＳ ゴシック" w:hAnsi="ＭＳ ゴシック" w:eastAsia="ＭＳ ゴシック"/>
          <w:color w:val="auto"/>
          <w:sz w:val="22"/>
        </w:rPr>
        <w:t>EBPM</w:t>
      </w:r>
      <w:r>
        <w:rPr>
          <w:rFonts w:hint="eastAsia" w:ascii="ＭＳ ゴシック" w:hAnsi="ＭＳ ゴシック" w:eastAsia="ＭＳ ゴシック"/>
          <w:color w:val="auto"/>
          <w:sz w:val="22"/>
        </w:rPr>
        <w:t>等により自らの行政の効率化・高度化を図るとともに、多様な主体との連携により民間のデジタル・ビジネスなど新たな価値等が創出されることが期待される。</w:t>
      </w:r>
    </w:p>
    <w:p>
      <w:pPr>
        <w:pStyle w:val="0"/>
        <w:ind w:left="1060" w:leftChars="400" w:hanging="220" w:hangingChars="10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◆「第</w:t>
      </w:r>
      <w:r>
        <w:rPr>
          <w:rFonts w:hint="eastAsia" w:ascii="ＭＳ ゴシック" w:hAnsi="ＭＳ ゴシック" w:eastAsia="ＭＳ ゴシック"/>
          <w:color w:val="auto"/>
          <w:sz w:val="22"/>
        </w:rPr>
        <w:t>2</w:t>
      </w:r>
      <w:r>
        <w:rPr>
          <w:rFonts w:hint="eastAsia" w:ascii="ＭＳ ゴシック" w:hAnsi="ＭＳ ゴシック" w:eastAsia="ＭＳ ゴシック"/>
          <w:color w:val="auto"/>
          <w:sz w:val="22"/>
        </w:rPr>
        <w:t>次日向市総合計画後期基本計画」（令和</w:t>
      </w:r>
      <w:r>
        <w:rPr>
          <w:rFonts w:hint="eastAsia" w:ascii="ＭＳ ゴシック" w:hAnsi="ＭＳ ゴシック" w:eastAsia="ＭＳ ゴシック"/>
          <w:color w:val="auto"/>
          <w:sz w:val="22"/>
        </w:rPr>
        <w:t>3</w:t>
      </w:r>
      <w:r>
        <w:rPr>
          <w:rFonts w:hint="eastAsia" w:ascii="ＭＳ ゴシック" w:hAnsi="ＭＳ ゴシック" w:eastAsia="ＭＳ ゴシック"/>
          <w:color w:val="auto"/>
          <w:sz w:val="22"/>
        </w:rPr>
        <w:t>年</w:t>
      </w:r>
      <w:r>
        <w:rPr>
          <w:rFonts w:hint="eastAsia" w:ascii="ＭＳ ゴシック" w:hAnsi="ＭＳ ゴシック" w:eastAsia="ＭＳ ゴシック"/>
          <w:color w:val="auto"/>
          <w:sz w:val="22"/>
        </w:rPr>
        <w:t>2</w:t>
      </w:r>
      <w:r>
        <w:rPr>
          <w:rFonts w:hint="eastAsia" w:ascii="ＭＳ ゴシック" w:hAnsi="ＭＳ ゴシック" w:eastAsia="ＭＳ ゴシック"/>
          <w:color w:val="auto"/>
          <w:sz w:val="22"/>
        </w:rPr>
        <w:t>月）</w:t>
      </w:r>
    </w:p>
    <w:p>
      <w:pPr>
        <w:pStyle w:val="0"/>
        <w:ind w:firstLine="440" w:firstLineChars="2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（第</w:t>
      </w:r>
      <w:r>
        <w:rPr>
          <w:rFonts w:hint="eastAsia" w:ascii="ＭＳ ゴシック" w:hAnsi="ＭＳ ゴシック" w:eastAsia="ＭＳ ゴシック"/>
          <w:color w:val="auto"/>
          <w:sz w:val="22"/>
        </w:rPr>
        <w:t>2</w:t>
      </w:r>
      <w:r>
        <w:rPr>
          <w:rFonts w:hint="eastAsia" w:ascii="ＭＳ ゴシック" w:hAnsi="ＭＳ ゴシック" w:eastAsia="ＭＳ ゴシック"/>
          <w:color w:val="auto"/>
          <w:sz w:val="22"/>
        </w:rPr>
        <w:t>章</w:t>
      </w:r>
      <w:r>
        <w:rPr>
          <w:rFonts w:hint="eastAsia" w:ascii="ＭＳ ゴシック" w:hAnsi="ＭＳ ゴシック" w:eastAsia="ＭＳ ゴシック"/>
          <w:color w:val="auto"/>
          <w:sz w:val="22"/>
        </w:rPr>
        <w:t xml:space="preserve"> </w:t>
      </w:r>
      <w:r>
        <w:rPr>
          <w:rFonts w:hint="eastAsia" w:ascii="ＭＳ ゴシック" w:hAnsi="ＭＳ ゴシック" w:eastAsia="ＭＳ ゴシック"/>
          <w:color w:val="auto"/>
          <w:sz w:val="22"/>
        </w:rPr>
        <w:t>重点戦略と重点プロジェクト）</w:t>
      </w:r>
    </w:p>
    <w:p>
      <w:pPr>
        <w:pStyle w:val="0"/>
        <w:ind w:firstLine="660" w:firstLineChars="3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Society5.0</w:t>
      </w:r>
      <w:r>
        <w:rPr>
          <w:rFonts w:hint="eastAsia" w:ascii="ＭＳ ゴシック" w:hAnsi="ＭＳ ゴシック" w:eastAsia="ＭＳ ゴシック"/>
          <w:color w:val="auto"/>
          <w:sz w:val="22"/>
        </w:rPr>
        <w:t>の推進」を横断的な目標に掲げ、重点戦略の推進を図ります。</w:t>
      </w:r>
    </w:p>
    <w:p>
      <w:pPr>
        <w:pStyle w:val="0"/>
        <w:ind w:firstLine="440" w:firstLineChars="2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（第</w:t>
      </w:r>
      <w:r>
        <w:rPr>
          <w:rFonts w:hint="eastAsia" w:ascii="ＭＳ ゴシック" w:hAnsi="ＭＳ ゴシック" w:eastAsia="ＭＳ ゴシック"/>
          <w:color w:val="auto"/>
          <w:sz w:val="22"/>
        </w:rPr>
        <w:t>2</w:t>
      </w:r>
      <w:r>
        <w:rPr>
          <w:rFonts w:hint="eastAsia" w:ascii="ＭＳ ゴシック" w:hAnsi="ＭＳ ゴシック" w:eastAsia="ＭＳ ゴシック"/>
          <w:color w:val="auto"/>
          <w:sz w:val="22"/>
        </w:rPr>
        <w:t>章</w:t>
      </w:r>
      <w:r>
        <w:rPr>
          <w:rFonts w:hint="eastAsia" w:ascii="ＭＳ ゴシック" w:hAnsi="ＭＳ ゴシック" w:eastAsia="ＭＳ ゴシック"/>
          <w:color w:val="auto"/>
          <w:sz w:val="22"/>
        </w:rPr>
        <w:t xml:space="preserve"> </w:t>
      </w:r>
      <w:r>
        <w:rPr>
          <w:rFonts w:hint="eastAsia" w:ascii="ＭＳ ゴシック" w:hAnsi="ＭＳ ゴシック" w:eastAsia="ＭＳ ゴシック"/>
          <w:color w:val="auto"/>
          <w:sz w:val="22"/>
        </w:rPr>
        <w:t>重点戦略と重点プロジェクト　</w:t>
      </w:r>
      <w:r>
        <w:rPr>
          <w:rFonts w:hint="eastAsia" w:ascii="ＭＳ ゴシック" w:hAnsi="ＭＳ ゴシック" w:eastAsia="ＭＳ ゴシック"/>
          <w:color w:val="auto"/>
          <w:sz w:val="22"/>
        </w:rPr>
        <w:t xml:space="preserve">4-2 </w:t>
      </w:r>
      <w:r>
        <w:rPr>
          <w:rFonts w:hint="eastAsia" w:ascii="ＭＳ ゴシック" w:hAnsi="ＭＳ ゴシック" w:eastAsia="ＭＳ ゴシック"/>
          <w:color w:val="auto"/>
          <w:sz w:val="22"/>
        </w:rPr>
        <w:t>便利で住みやすいまちづくりプロジェクト）</w:t>
      </w:r>
      <w:r>
        <w:rPr>
          <w:rFonts w:hint="eastAsia" w:ascii="ＭＳ ゴシック" w:hAnsi="ＭＳ ゴシック" w:eastAsia="ＭＳ ゴシック"/>
          <w:color w:val="auto"/>
          <w:sz w:val="22"/>
        </w:rPr>
        <w:t xml:space="preserve">  </w:t>
      </w:r>
    </w:p>
    <w:p>
      <w:pPr>
        <w:pStyle w:val="0"/>
        <w:ind w:firstLine="660" w:firstLineChars="3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【基本的な方向性】</w:t>
      </w:r>
      <w:r>
        <w:rPr>
          <w:rFonts w:hint="eastAsia" w:ascii="ＭＳ ゴシック" w:hAnsi="ＭＳ ゴシック" w:eastAsia="ＭＳ ゴシック"/>
          <w:color w:val="auto"/>
          <w:sz w:val="22"/>
        </w:rPr>
        <w:t>Society5.0</w:t>
      </w:r>
      <w:r>
        <w:rPr>
          <w:rFonts w:hint="eastAsia" w:ascii="ＭＳ ゴシック" w:hAnsi="ＭＳ ゴシック" w:eastAsia="ＭＳ ゴシック"/>
          <w:color w:val="auto"/>
          <w:sz w:val="22"/>
        </w:rPr>
        <w:t>時代に対応した情報通信技術（</w:t>
      </w:r>
      <w:r>
        <w:rPr>
          <w:rFonts w:hint="eastAsia" w:ascii="ＭＳ ゴシック" w:hAnsi="ＭＳ ゴシック" w:eastAsia="ＭＳ ゴシック"/>
          <w:color w:val="auto"/>
          <w:sz w:val="22"/>
        </w:rPr>
        <w:t>ICT</w:t>
      </w:r>
      <w:r>
        <w:rPr>
          <w:rFonts w:hint="eastAsia" w:ascii="ＭＳ ゴシック" w:hAnsi="ＭＳ ゴシック" w:eastAsia="ＭＳ ゴシック"/>
          <w:color w:val="auto"/>
          <w:sz w:val="22"/>
        </w:rPr>
        <w:t>）の利活用を推進します。</w:t>
      </w:r>
    </w:p>
    <w:p>
      <w:pPr>
        <w:pStyle w:val="0"/>
        <w:ind w:firstLine="440" w:firstLineChars="2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（第</w:t>
      </w:r>
      <w:r>
        <w:rPr>
          <w:rFonts w:hint="eastAsia" w:ascii="ＭＳ ゴシック" w:hAnsi="ＭＳ ゴシック" w:eastAsia="ＭＳ ゴシック"/>
          <w:color w:val="auto"/>
          <w:sz w:val="22"/>
        </w:rPr>
        <w:t>3</w:t>
      </w:r>
      <w:r>
        <w:rPr>
          <w:rFonts w:hint="eastAsia" w:ascii="ＭＳ ゴシック" w:hAnsi="ＭＳ ゴシック" w:eastAsia="ＭＳ ゴシック"/>
          <w:color w:val="auto"/>
          <w:sz w:val="22"/>
        </w:rPr>
        <w:t>章</w:t>
      </w:r>
      <w:r>
        <w:rPr>
          <w:rFonts w:hint="eastAsia" w:ascii="ＭＳ ゴシック" w:hAnsi="ＭＳ ゴシック" w:eastAsia="ＭＳ ゴシック"/>
          <w:color w:val="auto"/>
          <w:sz w:val="22"/>
        </w:rPr>
        <w:t xml:space="preserve"> </w:t>
      </w:r>
      <w:r>
        <w:rPr>
          <w:rFonts w:hint="eastAsia" w:ascii="ＭＳ ゴシック" w:hAnsi="ＭＳ ゴシック" w:eastAsia="ＭＳ ゴシック"/>
          <w:color w:val="auto"/>
          <w:sz w:val="22"/>
        </w:rPr>
        <w:t>基本目標別の施策【社会基盤】</w:t>
      </w:r>
      <w:r>
        <w:rPr>
          <w:rFonts w:hint="eastAsia" w:ascii="ＭＳ ゴシック" w:hAnsi="ＭＳ ゴシック" w:eastAsia="ＭＳ ゴシック"/>
          <w:color w:val="auto"/>
          <w:sz w:val="22"/>
        </w:rPr>
        <w:t xml:space="preserve">5-6 </w:t>
      </w:r>
      <w:r>
        <w:rPr>
          <w:rFonts w:hint="eastAsia" w:ascii="ＭＳ ゴシック" w:hAnsi="ＭＳ ゴシック" w:eastAsia="ＭＳ ゴシック"/>
          <w:color w:val="auto"/>
          <w:sz w:val="22"/>
        </w:rPr>
        <w:t>情報通信基盤の整備と情報化の推進）</w:t>
      </w:r>
    </w:p>
    <w:p>
      <w:pPr>
        <w:pStyle w:val="0"/>
        <w:ind w:firstLine="660" w:firstLineChars="3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【施策の方向性】②情報通信技術（</w:t>
      </w:r>
      <w:r>
        <w:rPr>
          <w:rFonts w:hint="eastAsia" w:ascii="ＭＳ ゴシック" w:hAnsi="ＭＳ ゴシック" w:eastAsia="ＭＳ ゴシック"/>
          <w:color w:val="auto"/>
          <w:sz w:val="22"/>
        </w:rPr>
        <w:t>ICT</w:t>
      </w:r>
      <w:r>
        <w:rPr>
          <w:rFonts w:hint="eastAsia" w:ascii="ＭＳ ゴシック" w:hAnsi="ＭＳ ゴシック" w:eastAsia="ＭＳ ゴシック"/>
          <w:color w:val="auto"/>
          <w:sz w:val="22"/>
        </w:rPr>
        <w:t>）利活用の推進</w:t>
      </w:r>
      <w:r>
        <w:rPr>
          <w:rFonts w:hint="eastAsia" w:ascii="ＭＳ ゴシック" w:hAnsi="ＭＳ ゴシック" w:eastAsia="ＭＳ ゴシック"/>
          <w:color w:val="auto"/>
          <w:sz w:val="22"/>
        </w:rPr>
        <w:t xml:space="preserve"> </w:t>
      </w:r>
    </w:p>
    <w:p>
      <w:pPr>
        <w:pStyle w:val="0"/>
        <w:ind w:left="1050" w:leftChars="400" w:hanging="21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Society5.0</w:t>
      </w:r>
      <w:r>
        <w:rPr>
          <w:rFonts w:hint="eastAsia" w:ascii="ＭＳ ゴシック" w:hAnsi="ＭＳ ゴシック" w:eastAsia="ＭＳ ゴシック"/>
          <w:color w:val="auto"/>
          <w:sz w:val="22"/>
        </w:rPr>
        <w:t>の実現に向けて、医療、福祉、教育、産業など様々な分野へ</w:t>
      </w:r>
      <w:r>
        <w:rPr>
          <w:rFonts w:hint="eastAsia" w:ascii="ＭＳ ゴシック" w:hAnsi="ＭＳ ゴシック" w:eastAsia="ＭＳ ゴシック"/>
          <w:color w:val="auto"/>
          <w:sz w:val="22"/>
        </w:rPr>
        <w:t>IoT</w:t>
      </w:r>
      <w:r>
        <w:rPr>
          <w:rFonts w:hint="eastAsia" w:ascii="ＭＳ ゴシック" w:hAnsi="ＭＳ ゴシック" w:eastAsia="ＭＳ ゴシック"/>
          <w:color w:val="auto"/>
          <w:sz w:val="22"/>
        </w:rPr>
        <w:t>や</w:t>
      </w:r>
      <w:r>
        <w:rPr>
          <w:rFonts w:hint="eastAsia" w:ascii="ＭＳ ゴシック" w:hAnsi="ＭＳ ゴシック" w:eastAsia="ＭＳ ゴシック"/>
          <w:color w:val="auto"/>
          <w:sz w:val="22"/>
        </w:rPr>
        <w:t>AI</w:t>
      </w:r>
      <w:r>
        <w:rPr>
          <w:rFonts w:hint="eastAsia" w:ascii="ＭＳ ゴシック" w:hAnsi="ＭＳ ゴシック" w:eastAsia="ＭＳ ゴシック"/>
          <w:color w:val="auto"/>
          <w:sz w:val="22"/>
        </w:rPr>
        <w:t>、</w:t>
      </w:r>
    </w:p>
    <w:p>
      <w:pPr>
        <w:pStyle w:val="0"/>
        <w:ind w:left="1050" w:leftChars="500" w:firstLine="0" w:firstLineChars="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ロボットなどの情報通信技術の利活用を推進し、</w:t>
      </w:r>
      <w:r>
        <w:rPr>
          <w:rFonts w:hint="eastAsia" w:ascii="ＭＳ ゴシック" w:hAnsi="ＭＳ ゴシック" w:eastAsia="ＭＳ ゴシック"/>
          <w:color w:val="auto"/>
          <w:sz w:val="22"/>
          <w:u w:val="single" w:color="auto"/>
        </w:rPr>
        <w:t>地域課題の解決</w:t>
      </w:r>
      <w:r>
        <w:rPr>
          <w:rFonts w:hint="eastAsia" w:ascii="ＭＳ ゴシック" w:hAnsi="ＭＳ ゴシック" w:eastAsia="ＭＳ ゴシック"/>
          <w:color w:val="auto"/>
          <w:sz w:val="22"/>
        </w:rPr>
        <w:t>を促進します。</w:t>
      </w:r>
    </w:p>
    <w:p>
      <w:pPr>
        <w:pStyle w:val="0"/>
        <w:ind w:left="1050" w:leftChars="400" w:hanging="21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5G</w:t>
      </w:r>
      <w:r>
        <w:rPr>
          <w:rFonts w:hint="eastAsia" w:ascii="ＭＳ ゴシック" w:hAnsi="ＭＳ ゴシック" w:eastAsia="ＭＳ ゴシック"/>
          <w:color w:val="auto"/>
          <w:sz w:val="22"/>
        </w:rPr>
        <w:t>や</w:t>
      </w:r>
      <w:bookmarkStart w:id="119" w:name="_GoBack"/>
      <w:bookmarkEnd w:id="119"/>
      <w:r>
        <w:rPr>
          <w:rFonts w:hint="eastAsia" w:ascii="ＭＳ ゴシック" w:hAnsi="ＭＳ ゴシック" w:eastAsia="ＭＳ ゴシック"/>
          <w:color w:val="auto"/>
          <w:sz w:val="22"/>
        </w:rPr>
        <w:t>IoT</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AI</w:t>
      </w:r>
      <w:r>
        <w:rPr>
          <w:rFonts w:hint="eastAsia" w:ascii="ＭＳ ゴシック" w:hAnsi="ＭＳ ゴシック" w:eastAsia="ＭＳ ゴシック"/>
          <w:color w:val="auto"/>
          <w:sz w:val="22"/>
        </w:rPr>
        <w:t>など</w:t>
      </w:r>
      <w:r>
        <w:rPr>
          <w:rFonts w:hint="eastAsia" w:ascii="ＭＳ ゴシック" w:hAnsi="ＭＳ ゴシック" w:eastAsia="ＭＳ ゴシック"/>
          <w:color w:val="auto"/>
          <w:sz w:val="22"/>
        </w:rPr>
        <w:t>ICT</w:t>
      </w:r>
      <w:r>
        <w:rPr>
          <w:rFonts w:hint="eastAsia" w:ascii="ＭＳ ゴシック" w:hAnsi="ＭＳ ゴシック" w:eastAsia="ＭＳ ゴシック"/>
          <w:color w:val="auto"/>
          <w:sz w:val="22"/>
        </w:rPr>
        <w:t>技術の利活用を図るための調査研究を進めるとともに、職員の</w:t>
      </w:r>
      <w:r>
        <w:rPr>
          <w:rFonts w:hint="eastAsia" w:ascii="ＭＳ ゴシック" w:hAnsi="ＭＳ ゴシック" w:eastAsia="ＭＳ ゴシック"/>
          <w:color w:val="auto"/>
          <w:sz w:val="22"/>
        </w:rPr>
        <w:t>ICT</w:t>
      </w:r>
      <w:r>
        <w:rPr>
          <w:rFonts w:hint="eastAsia" w:ascii="ＭＳ ゴシック" w:hAnsi="ＭＳ ゴシック" w:eastAsia="ＭＳ ゴシック"/>
          <w:color w:val="auto"/>
          <w:sz w:val="22"/>
        </w:rPr>
        <w:t>リテラシーの向上に努めます。</w:t>
      </w:r>
      <w:r>
        <w:rPr>
          <w:rFonts w:hint="eastAsia" w:ascii="ＭＳ ゴシック" w:hAnsi="ＭＳ ゴシック" w:eastAsia="ＭＳ ゴシック"/>
          <w:color w:val="auto"/>
          <w:sz w:val="22"/>
        </w:rPr>
        <w:t xml:space="preserve"> </w:t>
      </w:r>
    </w:p>
    <w:p>
      <w:pPr>
        <w:pStyle w:val="0"/>
        <w:ind w:left="1050" w:leftChars="400" w:hanging="21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u w:val="single" w:color="auto"/>
        </w:rPr>
        <w:t>質の高い住民サービスの提供や効率的・効果的な行政運営</w:t>
      </w:r>
      <w:r>
        <w:rPr>
          <w:rFonts w:hint="eastAsia" w:ascii="ＭＳ ゴシック" w:hAnsi="ＭＳ ゴシック" w:eastAsia="ＭＳ ゴシック"/>
          <w:color w:val="auto"/>
          <w:sz w:val="22"/>
        </w:rPr>
        <w:t>に向け、電子申請システムや</w:t>
      </w:r>
      <w:r>
        <w:rPr>
          <w:rFonts w:hint="eastAsia" w:ascii="ＭＳ ゴシック" w:hAnsi="ＭＳ ゴシック" w:eastAsia="ＭＳ ゴシック"/>
          <w:color w:val="auto"/>
          <w:sz w:val="22"/>
        </w:rPr>
        <w:t>AI</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RPA</w:t>
      </w:r>
      <w:r>
        <w:rPr>
          <w:rFonts w:hint="eastAsia" w:ascii="ＭＳ ゴシック" w:hAnsi="ＭＳ ゴシック" w:eastAsia="ＭＳ ゴシック"/>
          <w:color w:val="auto"/>
          <w:sz w:val="22"/>
        </w:rPr>
        <w:t>などを積極的に導入します。</w:t>
      </w:r>
    </w:p>
    <w:p>
      <w:pPr>
        <w:pStyle w:val="0"/>
        <w:ind w:firstLine="220" w:firstLineChars="100"/>
        <w:rPr>
          <w:rFonts w:hint="eastAsia" w:ascii="ＭＳ ゴシック" w:hAnsi="ＭＳ ゴシック" w:eastAsia="ＭＳ ゴシック"/>
          <w:color w:val="auto"/>
        </w:rPr>
      </w:pPr>
    </w:p>
    <w:p>
      <w:pPr>
        <w:pStyle w:val="0"/>
        <w:outlineLvl w:val="9"/>
        <w:rPr>
          <w:rFonts w:hint="eastAsia" w:ascii="ＭＳ ゴシック" w:hAnsi="ＭＳ ゴシック" w:eastAsia="ＭＳ ゴシック"/>
          <w:color w:val="auto"/>
        </w:rPr>
      </w:pPr>
      <w:bookmarkStart w:id="120" w:name="_Toc10762"/>
      <w:bookmarkStart w:id="121" w:name="_Toc13866"/>
      <w:bookmarkStart w:id="122" w:name="_Toc14734"/>
      <w:bookmarkStart w:id="123" w:name="_Toc15373"/>
      <w:bookmarkStart w:id="124" w:name="_Toc19223"/>
      <w:bookmarkStart w:id="125" w:name="_Toc26618"/>
      <w:bookmarkStart w:id="126" w:name="_Toc28807"/>
      <w:bookmarkStart w:id="127" w:name="_Toc31444"/>
      <w:bookmarkStart w:id="128" w:name="_Toc31653"/>
      <w:bookmarkStart w:id="129" w:name="_Toc4982"/>
      <w:bookmarkStart w:id="130" w:name="_Toc9257"/>
    </w:p>
    <w:p>
      <w:pPr>
        <w:pStyle w:val="0"/>
        <w:outlineLvl w:val="1"/>
        <w:rPr>
          <w:rFonts w:hint="eastAsia" w:ascii="ＭＳ ゴシック" w:hAnsi="ＭＳ ゴシック" w:eastAsia="ＭＳ ゴシック"/>
          <w:color w:val="auto"/>
        </w:rPr>
      </w:pPr>
      <w:bookmarkStart w:id="131" w:name="_Toc14028"/>
      <w:bookmarkStart w:id="132" w:name="_Toc19239"/>
      <w:bookmarkStart w:id="133" w:name="_Toc835"/>
      <w:r>
        <w:rPr>
          <w:rFonts w:hint="eastAsia" w:ascii="ＭＳ ゴシック" w:hAnsi="ＭＳ ゴシック" w:eastAsia="ＭＳ ゴシック"/>
          <w:color w:val="auto"/>
          <w:sz w:val="24"/>
          <w:u w:val="none" w:color="auto"/>
          <w:shd w:val="clear" w:color="auto" w:fill="auto"/>
        </w:rPr>
        <w:t xml:space="preserve">5.2 </w:t>
      </w:r>
      <w:r>
        <w:rPr>
          <w:rFonts w:hint="eastAsia" w:ascii="ＭＳ ゴシック" w:hAnsi="ＭＳ ゴシック" w:eastAsia="ＭＳ ゴシック"/>
          <w:color w:val="auto"/>
          <w:sz w:val="24"/>
          <w:u w:val="none" w:color="auto"/>
          <w:shd w:val="clear" w:color="auto" w:fill="auto"/>
        </w:rPr>
        <w:t>個別推進方針</w:t>
      </w:r>
      <w:bookmarkEnd w:id="120"/>
      <w:bookmarkEnd w:id="121"/>
      <w:bookmarkEnd w:id="131"/>
      <w:bookmarkEnd w:id="122"/>
      <w:bookmarkEnd w:id="123"/>
      <w:bookmarkEnd w:id="124"/>
      <w:bookmarkEnd w:id="132"/>
      <w:bookmarkEnd w:id="125"/>
      <w:bookmarkEnd w:id="126"/>
      <w:bookmarkEnd w:id="127"/>
      <w:bookmarkEnd w:id="128"/>
      <w:bookmarkEnd w:id="129"/>
      <w:bookmarkEnd w:id="133"/>
      <w:bookmarkEnd w:id="130"/>
    </w:p>
    <w:p>
      <w:pPr>
        <w:pStyle w:val="0"/>
        <w:ind w:firstLine="220"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「自治体</w:t>
      </w:r>
      <w:r>
        <w:rPr>
          <w:rFonts w:hint="eastAsia" w:ascii="ＭＳ ゴシック" w:hAnsi="ＭＳ ゴシック" w:eastAsia="ＭＳ ゴシック"/>
          <w:color w:val="auto"/>
          <w:sz w:val="22"/>
        </w:rPr>
        <w:t>DX</w:t>
      </w:r>
      <w:r>
        <w:rPr>
          <w:rFonts w:hint="eastAsia" w:ascii="ＭＳ ゴシック" w:hAnsi="ＭＳ ゴシック" w:eastAsia="ＭＳ ゴシック"/>
          <w:color w:val="auto"/>
          <w:sz w:val="22"/>
        </w:rPr>
        <w:t>推進計画」における取組事項をはじめ、全体推進方針に掲げた目的に対応した取り組みについて個別推進方針を策定し、積極的かつ効果的に推進します。</w:t>
      </w:r>
    </w:p>
    <w:p>
      <w:pPr>
        <w:pStyle w:val="0"/>
        <w:ind w:firstLine="220"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なお、取り組みの選定においては、「第</w:t>
      </w:r>
      <w:r>
        <w:rPr>
          <w:rFonts w:hint="eastAsia" w:ascii="ＭＳ ゴシック" w:hAnsi="ＭＳ ゴシック" w:eastAsia="ＭＳ ゴシック"/>
          <w:color w:val="auto"/>
          <w:sz w:val="22"/>
        </w:rPr>
        <w:t>2</w:t>
      </w:r>
      <w:r>
        <w:rPr>
          <w:rFonts w:hint="eastAsia" w:ascii="ＭＳ ゴシック" w:hAnsi="ＭＳ ゴシック" w:eastAsia="ＭＳ ゴシック"/>
          <w:color w:val="auto"/>
          <w:sz w:val="22"/>
        </w:rPr>
        <w:t>次日向市総合計画・後期基本計画」「第</w:t>
      </w:r>
      <w:r>
        <w:rPr>
          <w:rFonts w:hint="eastAsia" w:ascii="ＭＳ ゴシック" w:hAnsi="ＭＳ ゴシック" w:eastAsia="ＭＳ ゴシック"/>
          <w:color w:val="auto"/>
          <w:sz w:val="22"/>
        </w:rPr>
        <w:t>2</w:t>
      </w:r>
      <w:r>
        <w:rPr>
          <w:rFonts w:hint="eastAsia" w:ascii="ＭＳ ゴシック" w:hAnsi="ＭＳ ゴシック" w:eastAsia="ＭＳ ゴシック"/>
          <w:color w:val="auto"/>
          <w:sz w:val="22"/>
        </w:rPr>
        <w:t>次日向市行財政改革大綱」の各施策に対応する</w:t>
      </w:r>
      <w:r>
        <w:rPr>
          <w:rFonts w:hint="eastAsia" w:ascii="ＭＳ ゴシック" w:hAnsi="ＭＳ ゴシック" w:eastAsia="ＭＳ ゴシック"/>
          <w:color w:val="auto"/>
          <w:sz w:val="22"/>
        </w:rPr>
        <w:t>ICT</w:t>
      </w:r>
      <w:r>
        <w:rPr>
          <w:rFonts w:hint="eastAsia" w:ascii="ＭＳ ゴシック" w:hAnsi="ＭＳ ゴシック" w:eastAsia="ＭＳ ゴシック"/>
          <w:color w:val="auto"/>
          <w:sz w:val="22"/>
        </w:rPr>
        <w:t>導入の検討や直近で実施した「市民アンケート」及び「職員アンケート」において導入希望の高い取り組みを参考に必要性や効果を考慮して選定しており、今後も適宜、見直していくこととします。</w:t>
      </w:r>
    </w:p>
    <w:p>
      <w:pPr>
        <w:pStyle w:val="0"/>
        <w:rPr>
          <w:rFonts w:hint="eastAsia" w:ascii="ＭＳ ゴシック" w:hAnsi="ＭＳ ゴシック" w:eastAsia="ＭＳ ゴシック"/>
          <w:color w:val="auto"/>
          <w:sz w:val="22"/>
        </w:rPr>
      </w:pPr>
    </w:p>
    <w:p>
      <w:pPr>
        <w:pStyle w:val="0"/>
        <w:outlineLvl w:val="1"/>
        <w:rPr>
          <w:rFonts w:hint="eastAsia" w:ascii="ＭＳ ゴシック" w:hAnsi="ＭＳ ゴシック" w:eastAsia="ＭＳ ゴシック"/>
          <w:color w:val="auto"/>
          <w:sz w:val="22"/>
        </w:rPr>
      </w:pPr>
      <w:bookmarkStart w:id="134" w:name="_Toc12256"/>
      <w:bookmarkStart w:id="135" w:name="_Toc14471"/>
      <w:bookmarkStart w:id="136" w:name="_Toc14856"/>
      <w:bookmarkStart w:id="137" w:name="_Toc18304"/>
      <w:bookmarkStart w:id="138" w:name="_Toc20857"/>
      <w:bookmarkStart w:id="139" w:name="_Toc21090"/>
      <w:bookmarkStart w:id="140" w:name="_Toc21104"/>
      <w:bookmarkStart w:id="141" w:name="_Toc24548"/>
      <w:bookmarkStart w:id="142" w:name="_Toc24869"/>
      <w:bookmarkStart w:id="143" w:name="_Toc30032"/>
      <w:bookmarkStart w:id="144" w:name="_Toc6329"/>
      <w:bookmarkStart w:id="145" w:name="_Toc6630"/>
      <w:bookmarkStart w:id="146" w:name="_Toc8007"/>
      <w:bookmarkStart w:id="147" w:name="_Toc8565"/>
      <w:r>
        <w:rPr>
          <w:rFonts w:hint="eastAsia" w:ascii="ＭＳ ゴシック" w:hAnsi="ＭＳ ゴシック" w:eastAsia="ＭＳ ゴシック"/>
          <w:color w:val="auto"/>
          <w:sz w:val="24"/>
        </w:rPr>
        <w:t>（</w:t>
      </w:r>
      <w:r>
        <w:rPr>
          <w:rFonts w:hint="eastAsia" w:ascii="ＭＳ ゴシック" w:hAnsi="ＭＳ ゴシック" w:eastAsia="ＭＳ ゴシック"/>
          <w:color w:val="auto"/>
          <w:sz w:val="24"/>
        </w:rPr>
        <w:t>1</w:t>
      </w:r>
      <w:r>
        <w:rPr>
          <w:rFonts w:hint="eastAsia" w:ascii="ＭＳ ゴシック" w:hAnsi="ＭＳ ゴシック" w:eastAsia="ＭＳ ゴシック"/>
          <w:color w:val="auto"/>
          <w:sz w:val="24"/>
        </w:rPr>
        <w:t>）「自治体</w:t>
      </w:r>
      <w:r>
        <w:rPr>
          <w:rFonts w:hint="eastAsia" w:ascii="ＭＳ ゴシック" w:hAnsi="ＭＳ ゴシック" w:eastAsia="ＭＳ ゴシック"/>
          <w:color w:val="auto"/>
          <w:sz w:val="24"/>
        </w:rPr>
        <w:t>DX</w:t>
      </w:r>
      <w:r>
        <w:rPr>
          <w:rFonts w:hint="eastAsia" w:ascii="ＭＳ ゴシック" w:hAnsi="ＭＳ ゴシック" w:eastAsia="ＭＳ ゴシック"/>
          <w:color w:val="auto"/>
          <w:sz w:val="24"/>
        </w:rPr>
        <w:t>推進計画」における取組事項</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0"/>
        <w:ind w:leftChars="0" w:firstLine="0" w:firstLineChars="0"/>
        <w:outlineLvl w:val="2"/>
        <w:rPr>
          <w:rFonts w:hint="eastAsia" w:ascii="ＭＳ ゴシック" w:hAnsi="ＭＳ ゴシック" w:eastAsia="ＭＳ ゴシック"/>
          <w:color w:val="auto"/>
          <w:sz w:val="22"/>
        </w:rPr>
      </w:pPr>
      <w:bookmarkStart w:id="148" w:name="_Toc1013"/>
      <w:bookmarkStart w:id="149" w:name="_Toc1501"/>
      <w:bookmarkStart w:id="150" w:name="_Toc18019"/>
      <w:bookmarkStart w:id="151" w:name="_Toc19006"/>
      <w:bookmarkStart w:id="152" w:name="_Toc19196"/>
      <w:bookmarkStart w:id="153" w:name="_Toc21466"/>
      <w:bookmarkStart w:id="154" w:name="_Toc23041"/>
      <w:bookmarkStart w:id="155" w:name="_Toc24367"/>
      <w:bookmarkStart w:id="156" w:name="_Toc27225"/>
      <w:bookmarkStart w:id="157" w:name="_Toc28638"/>
      <w:bookmarkStart w:id="158" w:name="_Toc28899"/>
      <w:bookmarkStart w:id="159" w:name="_Toc5278"/>
      <w:bookmarkStart w:id="160" w:name="_Toc8186"/>
      <w:bookmarkStart w:id="161" w:name="_Toc9386"/>
      <w:r>
        <w:rPr>
          <w:rFonts w:hint="eastAsia" w:ascii="ＭＳ ゴシック" w:hAnsi="ＭＳ ゴシック" w:eastAsia="ＭＳ ゴシック"/>
          <w:color w:val="auto"/>
          <w:sz w:val="22"/>
        </w:rPr>
        <w:t>【重点取組事項】</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0"/>
        <w:ind w:firstLine="440" w:firstLineChars="200"/>
        <w:outlineLvl w:val="2"/>
        <w:rPr>
          <w:rFonts w:hint="eastAsia" w:ascii="ＭＳ ゴシック" w:hAnsi="ＭＳ ゴシック" w:eastAsia="ＭＳ ゴシック"/>
          <w:color w:val="auto"/>
          <w:sz w:val="22"/>
        </w:rPr>
      </w:pPr>
      <w:bookmarkStart w:id="162" w:name="_Toc10025"/>
      <w:bookmarkStart w:id="163" w:name="_Toc135"/>
      <w:bookmarkStart w:id="164" w:name="_Toc13979"/>
      <w:bookmarkStart w:id="165" w:name="_Toc14674"/>
      <w:bookmarkStart w:id="166" w:name="_Toc14914"/>
      <w:bookmarkStart w:id="167" w:name="_Toc15325"/>
      <w:bookmarkStart w:id="168" w:name="_Toc16230"/>
      <w:bookmarkStart w:id="169" w:name="_Toc23718"/>
      <w:bookmarkStart w:id="170" w:name="_Toc28668"/>
      <w:bookmarkStart w:id="171" w:name="_Toc30807"/>
      <w:bookmarkStart w:id="172" w:name="_Toc31341"/>
      <w:bookmarkStart w:id="173" w:name="_Toc32026"/>
      <w:bookmarkStart w:id="174" w:name="_Toc32182"/>
      <w:bookmarkStart w:id="175" w:name="_Toc6303"/>
      <w:r>
        <w:rPr>
          <w:rFonts w:hint="eastAsia" w:ascii="ＭＳ ゴシック" w:hAnsi="ＭＳ ゴシック" w:eastAsia="ＭＳ ゴシック"/>
          <w:color w:val="auto"/>
          <w:sz w:val="22"/>
        </w:rPr>
        <w:t>〇自治体の情報システムの標準化・共通化</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2025</w:t>
      </w:r>
      <w:r>
        <w:rPr>
          <w:rFonts w:hint="eastAsia" w:ascii="ＭＳ ゴシック" w:hAnsi="ＭＳ ゴシック" w:eastAsia="ＭＳ ゴシック"/>
          <w:color w:val="auto"/>
          <w:sz w:val="22"/>
        </w:rPr>
        <w:t>（令和</w:t>
      </w:r>
      <w:r>
        <w:rPr>
          <w:rFonts w:hint="eastAsia" w:ascii="ＭＳ ゴシック" w:hAnsi="ＭＳ ゴシック" w:eastAsia="ＭＳ ゴシック"/>
          <w:color w:val="auto"/>
          <w:sz w:val="22"/>
        </w:rPr>
        <w:t>7</w:t>
      </w:r>
      <w:r>
        <w:rPr>
          <w:rFonts w:hint="eastAsia" w:ascii="ＭＳ ゴシック" w:hAnsi="ＭＳ ゴシック" w:eastAsia="ＭＳ ゴシック"/>
          <w:color w:val="auto"/>
          <w:sz w:val="22"/>
        </w:rPr>
        <w:t>）年度までに基幹系</w:t>
      </w:r>
      <w:r>
        <w:rPr>
          <w:rFonts w:hint="eastAsia" w:ascii="ＭＳ ゴシック" w:hAnsi="ＭＳ ゴシック" w:eastAsia="ＭＳ ゴシック"/>
          <w:color w:val="auto"/>
          <w:sz w:val="22"/>
        </w:rPr>
        <w:t>20</w:t>
      </w:r>
      <w:r>
        <w:rPr>
          <w:rFonts w:hint="eastAsia" w:ascii="ＭＳ ゴシック" w:hAnsi="ＭＳ ゴシック" w:eastAsia="ＭＳ ゴシック"/>
          <w:color w:val="auto"/>
          <w:sz w:val="22"/>
        </w:rPr>
        <w:t>業務システムについて、</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仮称</w:t>
      </w:r>
      <w:r>
        <w:rPr>
          <w:rFonts w:hint="eastAsia" w:ascii="ＭＳ ゴシック" w:hAnsi="ＭＳ ゴシック" w:eastAsia="ＭＳ ゴシック"/>
          <w:color w:val="auto"/>
          <w:sz w:val="22"/>
        </w:rPr>
        <w:t>)Gov-Cloud</w:t>
      </w:r>
      <w:r>
        <w:rPr>
          <w:rFonts w:hint="eastAsia" w:ascii="ＭＳ ゴシック" w:hAnsi="ＭＳ ゴシック" w:eastAsia="ＭＳ ゴシック"/>
          <w:color w:val="auto"/>
          <w:sz w:val="22"/>
        </w:rPr>
        <w:t>を活用し、国の策定する標準仕様に準拠したシステムへ移行します。</w:t>
      </w:r>
    </w:p>
    <w:p>
      <w:pPr>
        <w:pStyle w:val="0"/>
        <w:ind w:left="0" w:leftChars="0" w:firstLine="880" w:firstLineChars="4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※国補助事業（国補助</w:t>
      </w:r>
      <w:r>
        <w:rPr>
          <w:rFonts w:hint="eastAsia" w:ascii="ＭＳ ゴシック" w:hAnsi="ＭＳ ゴシック" w:eastAsia="ＭＳ ゴシック"/>
          <w:color w:val="auto"/>
          <w:sz w:val="22"/>
        </w:rPr>
        <w:t>10/10</w:t>
      </w:r>
      <w:r>
        <w:rPr>
          <w:rFonts w:hint="eastAsia" w:ascii="ＭＳ ゴシック" w:hAnsi="ＭＳ ゴシック" w:eastAsia="ＭＳ ゴシック"/>
          <w:color w:val="auto"/>
          <w:sz w:val="22"/>
        </w:rPr>
        <w:t>）を活用</w:t>
      </w:r>
    </w:p>
    <w:p>
      <w:pPr>
        <w:pStyle w:val="0"/>
        <w:ind w:firstLine="440" w:firstLineChars="200"/>
        <w:outlineLvl w:val="2"/>
        <w:rPr>
          <w:rFonts w:hint="eastAsia" w:ascii="ＭＳ ゴシック" w:hAnsi="ＭＳ ゴシック" w:eastAsia="ＭＳ ゴシック"/>
          <w:color w:val="auto"/>
          <w:sz w:val="22"/>
        </w:rPr>
      </w:pPr>
      <w:bookmarkStart w:id="176" w:name="_Toc10728"/>
      <w:bookmarkStart w:id="177" w:name="_Toc14685"/>
      <w:bookmarkStart w:id="178" w:name="_Toc22483"/>
      <w:bookmarkStart w:id="179" w:name="_Toc2303"/>
      <w:bookmarkStart w:id="180" w:name="_Toc23222"/>
      <w:bookmarkStart w:id="181" w:name="_Toc27689"/>
      <w:bookmarkStart w:id="182" w:name="_Toc3978"/>
      <w:bookmarkStart w:id="183" w:name="_Toc4930"/>
      <w:bookmarkStart w:id="184" w:name="_Toc4946"/>
      <w:bookmarkStart w:id="185" w:name="_Toc4990"/>
      <w:bookmarkStart w:id="186" w:name="_Toc5310"/>
      <w:bookmarkStart w:id="187" w:name="_Toc5368"/>
      <w:bookmarkStart w:id="188" w:name="_Toc8728"/>
      <w:bookmarkStart w:id="189" w:name="_Toc9626"/>
      <w:r>
        <w:rPr>
          <w:rFonts w:hint="eastAsia" w:ascii="ＭＳ ゴシック" w:hAnsi="ＭＳ ゴシック" w:eastAsia="ＭＳ ゴシック"/>
          <w:color w:val="auto"/>
          <w:sz w:val="22"/>
        </w:rPr>
        <w:t>〇マイナンバーカードの普及促進・利活用</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・出張申請受付などの積極的な実施により申請を促進するとともに、交付窓口の充実や、休日開庁の実施などにより交付体制を強化します。</w:t>
      </w:r>
    </w:p>
    <w:p>
      <w:pPr>
        <w:pStyle w:val="0"/>
        <w:ind w:firstLine="880" w:firstLineChars="4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※令和</w:t>
      </w:r>
      <w:r>
        <w:rPr>
          <w:rFonts w:hint="eastAsia" w:ascii="ＭＳ ゴシック" w:hAnsi="ＭＳ ゴシック" w:eastAsia="ＭＳ ゴシック"/>
          <w:color w:val="auto"/>
          <w:sz w:val="22"/>
        </w:rPr>
        <w:t>4</w:t>
      </w:r>
      <w:r>
        <w:rPr>
          <w:rFonts w:hint="eastAsia" w:ascii="ＭＳ ゴシック" w:hAnsi="ＭＳ ゴシック" w:eastAsia="ＭＳ ゴシック"/>
          <w:color w:val="auto"/>
          <w:sz w:val="22"/>
        </w:rPr>
        <w:t>年度末にはほぼ全国民にマイナンバーカードが行き渡ることを想定</w:t>
      </w:r>
    </w:p>
    <w:p>
      <w:pPr>
        <w:pStyle w:val="0"/>
        <w:ind w:firstLine="440" w:firstLineChars="200"/>
        <w:outlineLvl w:val="2"/>
        <w:rPr>
          <w:rFonts w:hint="eastAsia" w:ascii="ＭＳ ゴシック" w:hAnsi="ＭＳ ゴシック" w:eastAsia="ＭＳ ゴシック"/>
          <w:color w:val="auto"/>
          <w:sz w:val="22"/>
        </w:rPr>
      </w:pPr>
      <w:bookmarkStart w:id="190" w:name="_Toc11180"/>
      <w:bookmarkStart w:id="191" w:name="_Toc16633"/>
      <w:bookmarkStart w:id="192" w:name="_Toc17647"/>
      <w:bookmarkStart w:id="193" w:name="_Toc17950"/>
      <w:bookmarkStart w:id="194" w:name="_Toc19660"/>
      <w:bookmarkStart w:id="195" w:name="_Toc20388"/>
      <w:bookmarkStart w:id="196" w:name="_Toc22288"/>
      <w:bookmarkStart w:id="197" w:name="_Toc23092"/>
      <w:bookmarkStart w:id="198" w:name="_Toc27315"/>
      <w:bookmarkStart w:id="199" w:name="_Toc28425"/>
      <w:bookmarkStart w:id="200" w:name="_Toc29584"/>
      <w:bookmarkStart w:id="201" w:name="_Toc30076"/>
      <w:bookmarkStart w:id="202" w:name="_Toc7650"/>
      <w:bookmarkStart w:id="203" w:name="_Toc9689"/>
      <w:r>
        <w:rPr>
          <w:rFonts w:hint="eastAsia" w:ascii="ＭＳ ゴシック" w:hAnsi="ＭＳ ゴシック" w:eastAsia="ＭＳ ゴシック"/>
          <w:color w:val="auto"/>
          <w:sz w:val="22"/>
        </w:rPr>
        <w:t>〇行政手続のオンライン化</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・「自治体</w:t>
      </w:r>
      <w:r>
        <w:rPr>
          <w:rFonts w:hint="eastAsia" w:ascii="ＭＳ ゴシック" w:hAnsi="ＭＳ ゴシック" w:eastAsia="ＭＳ ゴシック"/>
          <w:color w:val="auto"/>
          <w:sz w:val="22"/>
        </w:rPr>
        <w:t>DX</w:t>
      </w:r>
      <w:r>
        <w:rPr>
          <w:rFonts w:hint="eastAsia" w:ascii="ＭＳ ゴシック" w:hAnsi="ＭＳ ゴシック" w:eastAsia="ＭＳ ゴシック"/>
          <w:color w:val="auto"/>
          <w:sz w:val="22"/>
        </w:rPr>
        <w:t>推進計画」に基づき、</w:t>
      </w:r>
      <w:r>
        <w:rPr>
          <w:rFonts w:hint="eastAsia" w:ascii="ＭＳ ゴシック" w:hAnsi="ＭＳ ゴシック" w:eastAsia="ＭＳ ゴシック"/>
          <w:color w:val="auto"/>
          <w:sz w:val="22"/>
        </w:rPr>
        <w:t>2022</w:t>
      </w:r>
      <w:r>
        <w:rPr>
          <w:rFonts w:hint="eastAsia" w:ascii="ＭＳ ゴシック" w:hAnsi="ＭＳ ゴシック" w:eastAsia="ＭＳ ゴシック"/>
          <w:color w:val="auto"/>
          <w:sz w:val="22"/>
        </w:rPr>
        <w:t>（令和</w:t>
      </w:r>
      <w:r>
        <w:rPr>
          <w:rFonts w:hint="eastAsia" w:ascii="ＭＳ ゴシック" w:hAnsi="ＭＳ ゴシック" w:eastAsia="ＭＳ ゴシック"/>
          <w:color w:val="auto"/>
          <w:sz w:val="22"/>
        </w:rPr>
        <w:t>4</w:t>
      </w:r>
      <w:r>
        <w:rPr>
          <w:rFonts w:hint="eastAsia" w:ascii="ＭＳ ゴシック" w:hAnsi="ＭＳ ゴシック" w:eastAsia="ＭＳ ゴシック"/>
          <w:color w:val="auto"/>
          <w:sz w:val="22"/>
        </w:rPr>
        <w:t>）年度までに、特に国民の利便性向上に資する</w:t>
      </w:r>
      <w:r>
        <w:rPr>
          <w:rFonts w:hint="eastAsia" w:ascii="ＭＳ ゴシック" w:hAnsi="ＭＳ ゴシック" w:eastAsia="ＭＳ ゴシック"/>
          <w:color w:val="auto"/>
          <w:sz w:val="22"/>
        </w:rPr>
        <w:t>27</w:t>
      </w:r>
      <w:r>
        <w:rPr>
          <w:rFonts w:hint="eastAsia" w:ascii="ＭＳ ゴシック" w:hAnsi="ＭＳ ゴシック" w:eastAsia="ＭＳ ゴシック"/>
          <w:color w:val="auto"/>
          <w:sz w:val="22"/>
        </w:rPr>
        <w:t>手続（子育て</w:t>
      </w:r>
      <w:r>
        <w:rPr>
          <w:rFonts w:hint="eastAsia" w:ascii="ＭＳ ゴシック" w:hAnsi="ＭＳ ゴシック" w:eastAsia="ＭＳ ゴシック"/>
          <w:color w:val="auto"/>
          <w:sz w:val="22"/>
        </w:rPr>
        <w:t>15</w:t>
      </w:r>
      <w:r>
        <w:rPr>
          <w:rFonts w:hint="eastAsia" w:ascii="ＭＳ ゴシック" w:hAnsi="ＭＳ ゴシック" w:eastAsia="ＭＳ ゴシック"/>
          <w:color w:val="auto"/>
          <w:sz w:val="22"/>
        </w:rPr>
        <w:t>、介護</w:t>
      </w:r>
      <w:r>
        <w:rPr>
          <w:rFonts w:hint="eastAsia" w:ascii="ＭＳ ゴシック" w:hAnsi="ＭＳ ゴシック" w:eastAsia="ＭＳ ゴシック"/>
          <w:color w:val="auto"/>
          <w:sz w:val="22"/>
        </w:rPr>
        <w:t>11</w:t>
      </w:r>
      <w:r>
        <w:rPr>
          <w:rFonts w:hint="eastAsia" w:ascii="ＭＳ ゴシック" w:hAnsi="ＭＳ ゴシック" w:eastAsia="ＭＳ ゴシック"/>
          <w:color w:val="auto"/>
          <w:sz w:val="22"/>
        </w:rPr>
        <w:t>、罹災証明書）について、マイナポータルの「ぴったりサービス」でのオンライン手続を可能にします。</w:t>
      </w:r>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スムーズに手続きを受付するため、「ぴったりサービス」と基幹システムとのエンドトゥエンドのオンライン接続を実現し、必要なネットワーク・システム改修を実施することで行政運営の簡素化・効率化を図ります。</w:t>
      </w:r>
    </w:p>
    <w:p>
      <w:pPr>
        <w:pStyle w:val="0"/>
        <w:ind w:firstLine="880" w:firstLineChars="4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※国補助事業（国補助</w:t>
      </w:r>
      <w:r>
        <w:rPr>
          <w:rFonts w:hint="eastAsia" w:ascii="ＭＳ ゴシック" w:hAnsi="ＭＳ ゴシック" w:eastAsia="ＭＳ ゴシック"/>
          <w:color w:val="auto"/>
          <w:sz w:val="22"/>
        </w:rPr>
        <w:t>1/2</w:t>
      </w:r>
      <w:r>
        <w:rPr>
          <w:rFonts w:hint="eastAsia" w:ascii="ＭＳ ゴシック" w:hAnsi="ＭＳ ゴシック" w:eastAsia="ＭＳ ゴシック"/>
          <w:color w:val="auto"/>
          <w:sz w:val="22"/>
        </w:rPr>
        <w:t>・市負担</w:t>
      </w:r>
      <w:r>
        <w:rPr>
          <w:rFonts w:hint="eastAsia" w:ascii="ＭＳ ゴシック" w:hAnsi="ＭＳ ゴシック" w:eastAsia="ＭＳ ゴシック"/>
          <w:color w:val="auto"/>
          <w:sz w:val="22"/>
        </w:rPr>
        <w:t>1/2</w:t>
      </w:r>
      <w:r>
        <w:rPr>
          <w:rFonts w:hint="eastAsia" w:ascii="ＭＳ ゴシック" w:hAnsi="ＭＳ ゴシック" w:eastAsia="ＭＳ ゴシック"/>
          <w:color w:val="auto"/>
          <w:sz w:val="22"/>
        </w:rPr>
        <w:t>）</w:t>
      </w:r>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・その他の手続きについても、国の「地方公共団体におけるオンライン利用促進指針」を踏まえ、自庁の電子申請システムも併せて活用しながら、積極的にオンライン化を進めることとします。</w:t>
      </w:r>
    </w:p>
    <w:p>
      <w:pPr>
        <w:pStyle w:val="0"/>
        <w:ind w:firstLine="440" w:firstLineChars="200"/>
        <w:outlineLvl w:val="2"/>
        <w:rPr>
          <w:rFonts w:hint="eastAsia" w:ascii="ＭＳ ゴシック" w:hAnsi="ＭＳ ゴシック" w:eastAsia="ＭＳ ゴシック"/>
          <w:color w:val="auto"/>
          <w:sz w:val="22"/>
        </w:rPr>
      </w:pPr>
      <w:bookmarkStart w:id="204" w:name="_Toc11037"/>
      <w:bookmarkStart w:id="205" w:name="_Toc14130"/>
      <w:bookmarkStart w:id="206" w:name="_Toc14182"/>
      <w:bookmarkStart w:id="207" w:name="_Toc1469"/>
      <w:bookmarkStart w:id="208" w:name="_Toc18084"/>
      <w:bookmarkStart w:id="209" w:name="_Toc20080"/>
      <w:bookmarkStart w:id="210" w:name="_Toc20152"/>
      <w:bookmarkStart w:id="211" w:name="_Toc22276"/>
      <w:bookmarkStart w:id="212" w:name="_Toc23788"/>
      <w:bookmarkStart w:id="213" w:name="_Toc24644"/>
      <w:bookmarkStart w:id="214" w:name="_Toc30270"/>
      <w:bookmarkStart w:id="215" w:name="_Toc4082"/>
      <w:bookmarkStart w:id="216" w:name="_Toc584"/>
      <w:bookmarkStart w:id="217" w:name="_Toc7648"/>
      <w:r>
        <w:rPr>
          <w:rFonts w:hint="eastAsia" w:ascii="ＭＳ ゴシック" w:hAnsi="ＭＳ ゴシック" w:eastAsia="ＭＳ ゴシック"/>
          <w:color w:val="auto"/>
          <w:sz w:val="22"/>
        </w:rPr>
        <w:t>〇</w:t>
      </w:r>
      <w:r>
        <w:rPr>
          <w:rFonts w:hint="eastAsia" w:ascii="ＭＳ ゴシック" w:hAnsi="ＭＳ ゴシック" w:eastAsia="ＭＳ ゴシック"/>
          <w:color w:val="auto"/>
          <w:sz w:val="22"/>
        </w:rPr>
        <w:t>AI</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RPA</w:t>
      </w:r>
      <w:r>
        <w:rPr>
          <w:rFonts w:hint="eastAsia" w:ascii="ＭＳ ゴシック" w:hAnsi="ＭＳ ゴシック" w:eastAsia="ＭＳ ゴシック"/>
          <w:color w:val="auto"/>
          <w:sz w:val="22"/>
        </w:rPr>
        <w:t>の利用推進</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・国の「</w:t>
      </w:r>
      <w:r>
        <w:rPr>
          <w:rFonts w:hint="eastAsia" w:ascii="ＭＳ ゴシック" w:hAnsi="ＭＳ ゴシック" w:eastAsia="ＭＳ ゴシック"/>
          <w:color w:val="auto"/>
          <w:sz w:val="22"/>
        </w:rPr>
        <w:t>AI</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RPA</w:t>
      </w:r>
      <w:r>
        <w:rPr>
          <w:rFonts w:hint="eastAsia" w:ascii="ＭＳ ゴシック" w:hAnsi="ＭＳ ゴシック" w:eastAsia="ＭＳ ゴシック"/>
          <w:color w:val="auto"/>
          <w:sz w:val="22"/>
        </w:rPr>
        <w:t>導入ガイドブック」を参考に、</w:t>
      </w:r>
      <w:r>
        <w:rPr>
          <w:rFonts w:hint="eastAsia" w:ascii="ＭＳ ゴシック" w:hAnsi="ＭＳ ゴシック" w:eastAsia="ＭＳ ゴシック"/>
          <w:color w:val="auto"/>
          <w:sz w:val="22"/>
        </w:rPr>
        <w:t>AI</w:t>
      </w:r>
      <w:r>
        <w:rPr>
          <w:rFonts w:hint="eastAsia" w:ascii="ＭＳ ゴシック" w:hAnsi="ＭＳ ゴシック" w:eastAsia="ＭＳ ゴシック"/>
          <w:color w:val="auto"/>
          <w:sz w:val="22"/>
        </w:rPr>
        <w:t>や</w:t>
      </w:r>
      <w:r>
        <w:rPr>
          <w:rFonts w:hint="eastAsia" w:ascii="ＭＳ ゴシック" w:hAnsi="ＭＳ ゴシック" w:eastAsia="ＭＳ ゴシック"/>
          <w:color w:val="auto"/>
          <w:sz w:val="22"/>
        </w:rPr>
        <w:t>RPA</w:t>
      </w:r>
      <w:r>
        <w:rPr>
          <w:rFonts w:hint="eastAsia" w:ascii="ＭＳ ゴシック" w:hAnsi="ＭＳ ゴシック" w:eastAsia="ＭＳ ゴシック"/>
          <w:color w:val="auto"/>
          <w:sz w:val="22"/>
        </w:rPr>
        <w:t>の導入・活用を進め、業務の効率化や</w:t>
      </w:r>
      <w:r>
        <w:rPr>
          <w:rFonts w:hint="eastAsia" w:ascii="ＭＳ ゴシック" w:hAnsi="ＭＳ ゴシック" w:eastAsia="ＭＳ ゴシック"/>
          <w:color w:val="auto"/>
          <w:sz w:val="22"/>
        </w:rPr>
        <w:t>2040</w:t>
      </w:r>
      <w:r>
        <w:rPr>
          <w:rFonts w:hint="eastAsia" w:ascii="ＭＳ ゴシック" w:hAnsi="ＭＳ ゴシック" w:eastAsia="ＭＳ ゴシック"/>
          <w:color w:val="auto"/>
          <w:sz w:val="22"/>
        </w:rPr>
        <w:t>年問題（人口減少による職員減）への対応を図ります。</w:t>
      </w:r>
    </w:p>
    <w:p>
      <w:pPr>
        <w:pStyle w:val="0"/>
        <w:ind w:left="840" w:leftChars="400" w:firstLine="0" w:firstLineChars="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※令和</w:t>
      </w:r>
      <w:r>
        <w:rPr>
          <w:rFonts w:hint="eastAsia" w:ascii="ＭＳ ゴシック" w:hAnsi="ＭＳ ゴシック" w:eastAsia="ＭＳ ゴシック"/>
          <w:color w:val="auto"/>
          <w:sz w:val="22"/>
        </w:rPr>
        <w:t>3</w:t>
      </w:r>
      <w:r>
        <w:rPr>
          <w:rFonts w:hint="eastAsia" w:ascii="ＭＳ ゴシック" w:hAnsi="ＭＳ ゴシック" w:eastAsia="ＭＳ ゴシック"/>
          <w:color w:val="auto"/>
          <w:sz w:val="22"/>
        </w:rPr>
        <w:t>年度は特別交付税あり（対象費用の</w:t>
      </w:r>
      <w:r>
        <w:rPr>
          <w:rFonts w:hint="eastAsia" w:ascii="ＭＳ ゴシック" w:hAnsi="ＭＳ ゴシック" w:eastAsia="ＭＳ ゴシック"/>
          <w:color w:val="auto"/>
          <w:sz w:val="22"/>
        </w:rPr>
        <w:t>30</w:t>
      </w:r>
      <w:r>
        <w:rPr>
          <w:rFonts w:hint="eastAsia" w:ascii="ＭＳ ゴシック" w:hAnsi="ＭＳ ゴシック" w:eastAsia="ＭＳ ゴシック"/>
          <w:color w:val="auto"/>
          <w:sz w:val="22"/>
        </w:rPr>
        <w:t>％）</w:t>
      </w:r>
    </w:p>
    <w:p>
      <w:pPr>
        <w:pStyle w:val="0"/>
        <w:ind w:firstLine="440" w:firstLineChars="200"/>
        <w:outlineLvl w:val="2"/>
        <w:rPr>
          <w:rFonts w:hint="eastAsia" w:ascii="ＭＳ ゴシック" w:hAnsi="ＭＳ ゴシック" w:eastAsia="ＭＳ ゴシック"/>
          <w:color w:val="auto"/>
          <w:sz w:val="22"/>
        </w:rPr>
      </w:pPr>
      <w:bookmarkStart w:id="218" w:name="_Toc11721"/>
      <w:bookmarkStart w:id="219" w:name="_Toc133"/>
      <w:bookmarkStart w:id="220" w:name="_Toc13580"/>
      <w:bookmarkStart w:id="221" w:name="_Toc18488"/>
      <w:bookmarkStart w:id="222" w:name="_Toc18821"/>
      <w:bookmarkStart w:id="223" w:name="_Toc19301"/>
      <w:bookmarkStart w:id="224" w:name="_Toc21171"/>
      <w:bookmarkStart w:id="225" w:name="_Toc23407"/>
      <w:bookmarkStart w:id="226" w:name="_Toc23843"/>
      <w:bookmarkStart w:id="227" w:name="_Toc32531"/>
      <w:bookmarkStart w:id="228" w:name="_Toc5883"/>
      <w:bookmarkStart w:id="229" w:name="_Toc7059"/>
      <w:bookmarkStart w:id="230" w:name="_Toc9370"/>
      <w:bookmarkStart w:id="231" w:name="_Toc9997"/>
      <w:r>
        <w:rPr>
          <w:rFonts w:hint="eastAsia" w:ascii="ＭＳ ゴシック" w:hAnsi="ＭＳ ゴシック" w:eastAsia="ＭＳ ゴシック"/>
          <w:color w:val="auto"/>
          <w:sz w:val="22"/>
        </w:rPr>
        <w:t>〇テレワークの推進</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・非常時における業務継続や育児・介護等による生活上の制約がある職員のワークライフバランス、時間・場所を有効に活用した「働き方改革」の観点から積極的に推進します。</w:t>
      </w:r>
    </w:p>
    <w:p>
      <w:pPr>
        <w:pStyle w:val="0"/>
        <w:ind w:firstLine="440" w:firstLineChars="200"/>
        <w:outlineLvl w:val="2"/>
        <w:rPr>
          <w:rFonts w:hint="eastAsia" w:ascii="ＭＳ ゴシック" w:hAnsi="ＭＳ ゴシック" w:eastAsia="ＭＳ ゴシック"/>
          <w:color w:val="auto"/>
          <w:sz w:val="22"/>
        </w:rPr>
      </w:pPr>
      <w:bookmarkStart w:id="232" w:name="_Toc12976"/>
      <w:bookmarkStart w:id="233" w:name="_Toc14213"/>
      <w:bookmarkStart w:id="234" w:name="_Toc15164"/>
      <w:bookmarkStart w:id="235" w:name="_Toc18307"/>
      <w:bookmarkStart w:id="236" w:name="_Toc22028"/>
      <w:bookmarkStart w:id="237" w:name="_Toc22737"/>
      <w:bookmarkStart w:id="238" w:name="_Toc25169"/>
      <w:bookmarkStart w:id="239" w:name="_Toc25352"/>
      <w:bookmarkStart w:id="240" w:name="_Toc26981"/>
      <w:bookmarkStart w:id="241" w:name="_Toc27527"/>
      <w:bookmarkStart w:id="242" w:name="_Toc30096"/>
      <w:bookmarkStart w:id="243" w:name="_Toc3169"/>
      <w:bookmarkStart w:id="244" w:name="_Toc31785"/>
      <w:bookmarkStart w:id="245" w:name="_Toc3284"/>
      <w:r>
        <w:rPr>
          <w:rFonts w:hint="eastAsia" w:ascii="ＭＳ ゴシック" w:hAnsi="ＭＳ ゴシック" w:eastAsia="ＭＳ ゴシック"/>
          <w:color w:val="auto"/>
          <w:sz w:val="22"/>
        </w:rPr>
        <w:t>〇セキュリティ対策の徹底</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行政手続のオンライン化、テレワーク、マイナポータルのオンライン接続などに対応した国の「地方公共団体における情報セキュリティポリシーに関するガイドライン」に基づき、情報セキュリティポリシーの見直しを行い、情報セキュリティ対策の徹底を図ります。</w:t>
      </w:r>
    </w:p>
    <w:p>
      <w:pPr>
        <w:pStyle w:val="0"/>
        <w:outlineLvl w:val="2"/>
        <w:rPr>
          <w:rFonts w:hint="eastAsia" w:ascii="ＭＳ ゴシック" w:hAnsi="ＭＳ ゴシック" w:eastAsia="ＭＳ ゴシック"/>
          <w:color w:val="auto"/>
          <w:sz w:val="22"/>
        </w:rPr>
      </w:pPr>
      <w:bookmarkStart w:id="246" w:name="_Toc13092"/>
      <w:bookmarkStart w:id="247" w:name="_Toc1559"/>
      <w:bookmarkStart w:id="248" w:name="_Toc17139"/>
      <w:bookmarkStart w:id="249" w:name="_Toc22078"/>
      <w:bookmarkStart w:id="250" w:name="_Toc22496"/>
      <w:bookmarkStart w:id="251" w:name="_Toc26734"/>
      <w:bookmarkStart w:id="252" w:name="_Toc28544"/>
      <w:bookmarkStart w:id="253" w:name="_Toc28642"/>
      <w:bookmarkStart w:id="254" w:name="_Toc30269"/>
      <w:bookmarkStart w:id="255" w:name="_Toc3494"/>
      <w:bookmarkStart w:id="256" w:name="_Toc6126"/>
      <w:bookmarkStart w:id="257" w:name="_Toc7968"/>
      <w:bookmarkStart w:id="258" w:name="_Toc9699"/>
      <w:bookmarkStart w:id="259" w:name="_Toc992"/>
      <w:r>
        <w:rPr>
          <w:rFonts w:hint="eastAsia" w:ascii="ＭＳ ゴシック" w:hAnsi="ＭＳ ゴシック" w:eastAsia="ＭＳ ゴシック"/>
          <w:color w:val="auto"/>
          <w:sz w:val="22"/>
        </w:rPr>
        <w:t>【自治体</w:t>
      </w:r>
      <w:r>
        <w:rPr>
          <w:rFonts w:hint="eastAsia" w:ascii="ＭＳ ゴシック" w:hAnsi="ＭＳ ゴシック" w:eastAsia="ＭＳ ゴシック"/>
          <w:color w:val="auto"/>
          <w:sz w:val="22"/>
        </w:rPr>
        <w:t>DX</w:t>
      </w:r>
      <w:r>
        <w:rPr>
          <w:rFonts w:hint="eastAsia" w:ascii="ＭＳ ゴシック" w:hAnsi="ＭＳ ゴシック" w:eastAsia="ＭＳ ゴシック"/>
          <w:color w:val="auto"/>
          <w:sz w:val="22"/>
        </w:rPr>
        <w:t>の取組みとあわせて取り組むべき事項】</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0"/>
        <w:ind w:firstLine="440" w:firstLineChars="200"/>
        <w:outlineLvl w:val="2"/>
        <w:rPr>
          <w:rFonts w:hint="eastAsia" w:ascii="ＭＳ ゴシック" w:hAnsi="ＭＳ ゴシック" w:eastAsia="ＭＳ ゴシック"/>
          <w:color w:val="auto"/>
          <w:sz w:val="22"/>
        </w:rPr>
      </w:pPr>
      <w:bookmarkStart w:id="260" w:name="_Toc11206"/>
      <w:bookmarkStart w:id="261" w:name="_Toc12472"/>
      <w:bookmarkStart w:id="262" w:name="_Toc13676"/>
      <w:bookmarkStart w:id="263" w:name="_Toc15881"/>
      <w:bookmarkStart w:id="264" w:name="_Toc17821"/>
      <w:bookmarkStart w:id="265" w:name="_Toc19464"/>
      <w:bookmarkStart w:id="266" w:name="_Toc21767"/>
      <w:bookmarkStart w:id="267" w:name="_Toc26215"/>
      <w:bookmarkStart w:id="268" w:name="_Toc27691"/>
      <w:bookmarkStart w:id="269" w:name="_Toc3019"/>
      <w:bookmarkStart w:id="270" w:name="_Toc30623"/>
      <w:bookmarkStart w:id="271" w:name="_Toc3273"/>
      <w:bookmarkStart w:id="272" w:name="_Toc34"/>
      <w:bookmarkStart w:id="273" w:name="_Toc8708"/>
      <w:r>
        <w:rPr>
          <w:rFonts w:hint="eastAsia" w:ascii="ＭＳ ゴシック" w:hAnsi="ＭＳ ゴシック" w:eastAsia="ＭＳ ゴシック"/>
          <w:color w:val="auto"/>
          <w:sz w:val="22"/>
        </w:rPr>
        <w:t>〇地域社会のデジタル化</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国の「高度無線環境整備推進事業」の活用により、電気通信事業者が実施する超高速ブロードバンドの整備に対して必要な経費の一部を負担し、市全域での光ファイバー提供の実現に向けた整備を実施します。（令和</w:t>
      </w:r>
      <w:r>
        <w:rPr>
          <w:rFonts w:hint="eastAsia" w:ascii="ＭＳ ゴシック" w:hAnsi="ＭＳ ゴシック" w:eastAsia="ＭＳ ゴシック"/>
          <w:color w:val="auto"/>
          <w:sz w:val="22"/>
        </w:rPr>
        <w:t>3</w:t>
      </w:r>
      <w:r>
        <w:rPr>
          <w:rFonts w:hint="eastAsia" w:ascii="ＭＳ ゴシック" w:hAnsi="ＭＳ ゴシック" w:eastAsia="ＭＳ ゴシック"/>
          <w:color w:val="auto"/>
          <w:sz w:val="22"/>
        </w:rPr>
        <w:t>年度完了予定）</w:t>
      </w:r>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Society5.0</w:t>
      </w:r>
      <w:r>
        <w:rPr>
          <w:rFonts w:hint="eastAsia" w:ascii="ＭＳ ゴシック" w:hAnsi="ＭＳ ゴシック" w:eastAsia="ＭＳ ゴシック"/>
          <w:color w:val="auto"/>
          <w:sz w:val="22"/>
        </w:rPr>
        <w:t>の実現に向けて、光ファイバーや</w:t>
      </w:r>
      <w:r>
        <w:rPr>
          <w:rFonts w:hint="eastAsia" w:ascii="ＭＳ ゴシック" w:hAnsi="ＭＳ ゴシック" w:eastAsia="ＭＳ ゴシック"/>
          <w:color w:val="auto"/>
          <w:sz w:val="22"/>
        </w:rPr>
        <w:t>5</w:t>
      </w:r>
      <w:r>
        <w:rPr>
          <w:rFonts w:hint="eastAsia" w:ascii="ＭＳ ゴシック" w:hAnsi="ＭＳ ゴシック" w:eastAsia="ＭＳ ゴシック"/>
          <w:color w:val="auto"/>
          <w:sz w:val="22"/>
        </w:rPr>
        <w:t>Ｇサービス、ローカル</w:t>
      </w:r>
      <w:r>
        <w:rPr>
          <w:rFonts w:hint="eastAsia" w:ascii="ＭＳ ゴシック" w:hAnsi="ＭＳ ゴシック" w:eastAsia="ＭＳ ゴシック"/>
          <w:color w:val="auto"/>
          <w:sz w:val="22"/>
        </w:rPr>
        <w:t>5</w:t>
      </w:r>
      <w:r>
        <w:rPr>
          <w:rFonts w:hint="eastAsia" w:ascii="ＭＳ ゴシック" w:hAnsi="ＭＳ ゴシック" w:eastAsia="ＭＳ ゴシック"/>
          <w:color w:val="auto"/>
          <w:sz w:val="22"/>
        </w:rPr>
        <w:t>Ｇなどの超高速通信基盤を活用したデジタル技術による地域課題の解決に向けた</w:t>
      </w:r>
      <w:r>
        <w:rPr>
          <w:rFonts w:hint="eastAsia" w:ascii="ＭＳ ゴシック" w:hAnsi="ＭＳ ゴシック" w:eastAsia="ＭＳ ゴシック"/>
          <w:color w:val="auto"/>
          <w:sz w:val="22"/>
        </w:rPr>
        <w:t>ICT</w:t>
      </w:r>
      <w:r>
        <w:rPr>
          <w:rFonts w:hint="eastAsia" w:ascii="ＭＳ ゴシック" w:hAnsi="ＭＳ ゴシック" w:eastAsia="ＭＳ ゴシック"/>
          <w:color w:val="auto"/>
          <w:sz w:val="22"/>
        </w:rPr>
        <w:t>導入を検討します。</w:t>
      </w:r>
    </w:p>
    <w:p>
      <w:pPr>
        <w:pStyle w:val="0"/>
        <w:ind w:firstLine="440" w:firstLineChars="200"/>
        <w:outlineLvl w:val="2"/>
        <w:rPr>
          <w:rFonts w:hint="eastAsia" w:ascii="ＭＳ ゴシック" w:hAnsi="ＭＳ ゴシック" w:eastAsia="ＭＳ ゴシック"/>
          <w:color w:val="auto"/>
          <w:sz w:val="22"/>
        </w:rPr>
      </w:pPr>
      <w:bookmarkStart w:id="274" w:name="_Toc12884"/>
      <w:bookmarkStart w:id="275" w:name="_Toc15060"/>
      <w:bookmarkStart w:id="276" w:name="_Toc17743"/>
      <w:bookmarkStart w:id="277" w:name="_Toc21613"/>
      <w:bookmarkStart w:id="278" w:name="_Toc23074"/>
      <w:bookmarkStart w:id="279" w:name="_Toc23249"/>
      <w:bookmarkStart w:id="280" w:name="_Toc27283"/>
      <w:bookmarkStart w:id="281" w:name="_Toc29336"/>
      <w:bookmarkStart w:id="282" w:name="_Toc30586"/>
      <w:bookmarkStart w:id="283" w:name="_Toc30723"/>
      <w:bookmarkStart w:id="284" w:name="_Toc30740"/>
      <w:bookmarkStart w:id="285" w:name="_Toc32282"/>
      <w:bookmarkStart w:id="286" w:name="_Toc7170"/>
      <w:bookmarkStart w:id="287" w:name="_Toc8752"/>
      <w:r>
        <w:rPr>
          <w:rFonts w:hint="eastAsia" w:ascii="ＭＳ ゴシック" w:hAnsi="ＭＳ ゴシック" w:eastAsia="ＭＳ ゴシック"/>
          <w:color w:val="auto"/>
          <w:sz w:val="22"/>
        </w:rPr>
        <w:t>〇デジタルデバイド対策</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・通信事業者等とともに高齢者等を対象にしたスマホ教室の開催や情報発信により、オンライン手続き・サービスの利用方法等のデジタル活用を支援するとともに、効果的な事業の調査研究を進めます。</w:t>
      </w:r>
    </w:p>
    <w:p>
      <w:pPr>
        <w:pStyle w:val="0"/>
        <w:rPr>
          <w:rFonts w:hint="eastAsia" w:ascii="ＭＳ ゴシック" w:hAnsi="ＭＳ ゴシック" w:eastAsia="ＭＳ ゴシック"/>
          <w:color w:val="auto"/>
          <w:sz w:val="22"/>
        </w:rPr>
      </w:pPr>
    </w:p>
    <w:p>
      <w:pPr>
        <w:pStyle w:val="0"/>
        <w:outlineLvl w:val="2"/>
        <w:rPr>
          <w:rFonts w:hint="eastAsia" w:ascii="ＭＳ ゴシック" w:hAnsi="ＭＳ ゴシック" w:eastAsia="ＭＳ ゴシック"/>
          <w:color w:val="auto"/>
          <w:sz w:val="22"/>
        </w:rPr>
      </w:pPr>
      <w:bookmarkStart w:id="288" w:name="_Toc11997"/>
      <w:bookmarkStart w:id="289" w:name="_Toc13619"/>
      <w:bookmarkStart w:id="290" w:name="_Toc14511"/>
      <w:bookmarkStart w:id="291" w:name="_Toc15159"/>
      <w:bookmarkStart w:id="292" w:name="_Toc24460"/>
      <w:bookmarkStart w:id="293" w:name="_Toc25949"/>
      <w:bookmarkStart w:id="294" w:name="_Toc26041"/>
      <w:bookmarkStart w:id="295" w:name="_Toc26725"/>
      <w:bookmarkStart w:id="296" w:name="_Toc27446"/>
      <w:bookmarkStart w:id="297" w:name="_Toc29063"/>
      <w:bookmarkStart w:id="298" w:name="_Toc30633"/>
      <w:bookmarkStart w:id="299" w:name="_Toc31247"/>
      <w:bookmarkStart w:id="300" w:name="_Toc32128"/>
      <w:bookmarkStart w:id="301" w:name="_Toc7930"/>
      <w:r>
        <w:rPr>
          <w:rFonts w:hint="eastAsia" w:ascii="ＭＳ ゴシック" w:hAnsi="ＭＳ ゴシック" w:eastAsia="ＭＳ ゴシック"/>
          <w:color w:val="auto"/>
          <w:sz w:val="22"/>
        </w:rPr>
        <w:t>【その他】</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0"/>
        <w:ind w:firstLine="440" w:firstLineChars="200"/>
        <w:outlineLvl w:val="2"/>
        <w:rPr>
          <w:rFonts w:hint="eastAsia" w:ascii="ＭＳ ゴシック" w:hAnsi="ＭＳ ゴシック" w:eastAsia="ＭＳ ゴシック"/>
          <w:color w:val="auto"/>
          <w:sz w:val="22"/>
        </w:rPr>
      </w:pPr>
      <w:bookmarkStart w:id="302" w:name="_Toc10287"/>
      <w:bookmarkStart w:id="303" w:name="_Toc13283"/>
      <w:bookmarkStart w:id="304" w:name="_Toc15057"/>
      <w:bookmarkStart w:id="305" w:name="_Toc18658"/>
      <w:bookmarkStart w:id="306" w:name="_Toc20384"/>
      <w:bookmarkStart w:id="307" w:name="_Toc23148"/>
      <w:bookmarkStart w:id="308" w:name="_Toc26329"/>
      <w:bookmarkStart w:id="309" w:name="_Toc28392"/>
      <w:bookmarkStart w:id="310" w:name="_Toc30461"/>
      <w:bookmarkStart w:id="311" w:name="_Toc562"/>
      <w:bookmarkStart w:id="312" w:name="_Toc7405"/>
      <w:bookmarkStart w:id="313" w:name="_Toc7461"/>
      <w:bookmarkStart w:id="314" w:name="_Toc8466"/>
      <w:bookmarkStart w:id="315" w:name="_Toc8779"/>
      <w:r>
        <w:rPr>
          <w:rFonts w:hint="eastAsia" w:ascii="ＭＳ ゴシック" w:hAnsi="ＭＳ ゴシック" w:eastAsia="ＭＳ ゴシック"/>
          <w:color w:val="auto"/>
          <w:sz w:val="22"/>
        </w:rPr>
        <w:t>〇</w:t>
      </w:r>
      <w:r>
        <w:rPr>
          <w:rFonts w:hint="eastAsia" w:ascii="ＭＳ ゴシック" w:hAnsi="ＭＳ ゴシック" w:eastAsia="ＭＳ ゴシック"/>
          <w:color w:val="auto"/>
          <w:sz w:val="22"/>
        </w:rPr>
        <w:t>BPR</w:t>
      </w:r>
      <w:r>
        <w:rPr>
          <w:rFonts w:hint="eastAsia" w:ascii="ＭＳ ゴシック" w:hAnsi="ＭＳ ゴシック" w:eastAsia="ＭＳ ゴシック"/>
          <w:color w:val="auto"/>
          <w:sz w:val="22"/>
        </w:rPr>
        <w:t>の取組みの徹底＜書面・押印・対面の見直し関係＞</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0"/>
        <w:ind w:firstLine="660" w:firstLineChars="3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・行政手続きにおける押印見直しを、令和</w:t>
      </w:r>
      <w:r>
        <w:rPr>
          <w:rFonts w:hint="eastAsia" w:ascii="ＭＳ ゴシック" w:hAnsi="ＭＳ ゴシック" w:eastAsia="ＭＳ ゴシック"/>
          <w:color w:val="auto"/>
          <w:sz w:val="22"/>
        </w:rPr>
        <w:t>3</w:t>
      </w:r>
      <w:r>
        <w:rPr>
          <w:rFonts w:hint="eastAsia" w:ascii="ＭＳ ゴシック" w:hAnsi="ＭＳ ゴシック" w:eastAsia="ＭＳ ゴシック"/>
          <w:color w:val="auto"/>
          <w:sz w:val="22"/>
        </w:rPr>
        <w:t>年度に実施しました。</w:t>
      </w:r>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・見直し後において押印を必要とする手続については、電子署名を活用したオンライン利用を促進します。</w:t>
      </w:r>
    </w:p>
    <w:p>
      <w:pPr>
        <w:pStyle w:val="0"/>
        <w:ind w:firstLine="440" w:firstLineChars="200"/>
        <w:outlineLvl w:val="2"/>
        <w:rPr>
          <w:rFonts w:hint="eastAsia" w:ascii="ＭＳ ゴシック" w:hAnsi="ＭＳ ゴシック" w:eastAsia="ＭＳ ゴシック"/>
          <w:color w:val="auto"/>
          <w:sz w:val="22"/>
        </w:rPr>
      </w:pPr>
      <w:bookmarkStart w:id="316" w:name="_Toc13011"/>
      <w:bookmarkStart w:id="317" w:name="_Toc13183"/>
      <w:bookmarkStart w:id="318" w:name="_Toc17373"/>
      <w:bookmarkStart w:id="319" w:name="_Toc18121"/>
      <w:bookmarkStart w:id="320" w:name="_Toc20231"/>
      <w:bookmarkStart w:id="321" w:name="_Toc22756"/>
      <w:bookmarkStart w:id="322" w:name="_Toc22899"/>
      <w:bookmarkStart w:id="323" w:name="_Toc2474"/>
      <w:bookmarkStart w:id="324" w:name="_Toc25941"/>
      <w:bookmarkStart w:id="325" w:name="_Toc26166"/>
      <w:bookmarkStart w:id="326" w:name="_Toc26997"/>
      <w:bookmarkStart w:id="327" w:name="_Toc28535"/>
      <w:bookmarkStart w:id="328" w:name="_Toc29317"/>
      <w:bookmarkStart w:id="329" w:name="_Toc31132"/>
      <w:r>
        <w:rPr>
          <w:rFonts w:hint="eastAsia" w:ascii="ＭＳ ゴシック" w:hAnsi="ＭＳ ゴシック" w:eastAsia="ＭＳ ゴシック"/>
          <w:color w:val="auto"/>
          <w:sz w:val="22"/>
        </w:rPr>
        <w:t>〇オープンデータの推進</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・「日向市オープンデータの推進に係る指針」に基づき、市が保有するデータを住民が容易に利用できるようオープン化し、地域課題の解決や行政における業務の高度化及び効率化等を図ります。</w:t>
      </w:r>
    </w:p>
    <w:p>
      <w:pPr>
        <w:pStyle w:val="3"/>
        <w:ind w:left="0" w:leftChars="0" w:firstLine="440" w:firstLineChars="200"/>
        <w:rPr>
          <w:rFonts w:hint="eastAsia" w:ascii="ＭＳ ゴシック" w:hAnsi="ＭＳ ゴシック" w:eastAsia="ＭＳ ゴシック"/>
          <w:color w:val="auto"/>
          <w:sz w:val="22"/>
        </w:rPr>
      </w:pPr>
      <w:bookmarkStart w:id="330" w:name="_Toc1083"/>
      <w:bookmarkStart w:id="331" w:name="_Toc11605"/>
      <w:bookmarkStart w:id="332" w:name="_Toc13205"/>
      <w:bookmarkStart w:id="333" w:name="_Toc2053"/>
      <w:bookmarkStart w:id="334" w:name="_Toc21561"/>
      <w:bookmarkStart w:id="335" w:name="_Toc21669"/>
      <w:bookmarkStart w:id="336" w:name="_Toc22403"/>
      <w:bookmarkStart w:id="337" w:name="_Toc22473"/>
      <w:bookmarkStart w:id="338" w:name="_Toc24550"/>
      <w:bookmarkStart w:id="339" w:name="_Toc25130"/>
      <w:bookmarkStart w:id="340" w:name="_Toc27004"/>
      <w:bookmarkStart w:id="341" w:name="_Toc4749"/>
      <w:bookmarkStart w:id="342" w:name="_Toc5939"/>
      <w:bookmarkStart w:id="343" w:name="_Toc9600"/>
      <w:r>
        <w:rPr>
          <w:rFonts w:hint="eastAsia" w:ascii="ＭＳ ゴシック" w:hAnsi="ＭＳ ゴシック" w:eastAsia="ＭＳ ゴシック"/>
          <w:color w:val="auto"/>
          <w:sz w:val="22"/>
        </w:rPr>
        <w:t>〇官民データ活用推進計画策定の推進</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・官民データの利用環境の整備促進を図り、事務負担の軽減、地域課題の解決、住民及び事業者の利便性向上等を目的とした計画策定を検討します。</w:t>
      </w:r>
    </w:p>
    <w:p>
      <w:pPr>
        <w:pStyle w:val="0"/>
        <w:rPr>
          <w:rFonts w:hint="eastAsia" w:ascii="ＭＳ ゴシック" w:hAnsi="ＭＳ ゴシック" w:eastAsia="ＭＳ ゴシック"/>
          <w:color w:val="auto"/>
          <w:sz w:val="22"/>
        </w:rPr>
      </w:pPr>
    </w:p>
    <w:p>
      <w:pPr>
        <w:pStyle w:val="0"/>
        <w:ind w:left="480" w:hanging="480" w:hangingChars="200"/>
        <w:outlineLvl w:val="1"/>
        <w:rPr>
          <w:rFonts w:hint="eastAsia" w:ascii="ＭＳ ゴシック" w:hAnsi="ＭＳ ゴシック" w:eastAsia="ＭＳ ゴシック"/>
          <w:color w:val="auto"/>
          <w:sz w:val="22"/>
        </w:rPr>
      </w:pPr>
      <w:bookmarkStart w:id="344" w:name="_Toc18581"/>
      <w:bookmarkStart w:id="345" w:name="_Toc18661"/>
      <w:bookmarkStart w:id="346" w:name="_Toc21042"/>
      <w:bookmarkStart w:id="347" w:name="_Toc21284"/>
      <w:bookmarkStart w:id="348" w:name="_Toc22505"/>
      <w:bookmarkStart w:id="349" w:name="_Toc23191"/>
      <w:bookmarkStart w:id="350" w:name="_Toc24130"/>
      <w:bookmarkStart w:id="351" w:name="_Toc26254"/>
      <w:bookmarkStart w:id="352" w:name="_Toc30569"/>
      <w:bookmarkStart w:id="353" w:name="_Toc31640"/>
      <w:bookmarkStart w:id="354" w:name="_Toc32067"/>
      <w:bookmarkStart w:id="355" w:name="_Toc32079"/>
      <w:bookmarkStart w:id="356" w:name="_Toc4554"/>
      <w:bookmarkStart w:id="357" w:name="_Toc6886"/>
      <w:r>
        <w:rPr>
          <w:rFonts w:hint="eastAsia" w:ascii="ＭＳ ゴシック" w:hAnsi="ＭＳ ゴシック" w:eastAsia="ＭＳ ゴシック"/>
          <w:color w:val="auto"/>
          <w:sz w:val="24"/>
        </w:rPr>
        <w:t>（</w:t>
      </w:r>
      <w:r>
        <w:rPr>
          <w:rFonts w:hint="eastAsia" w:ascii="ＭＳ ゴシック" w:hAnsi="ＭＳ ゴシック" w:eastAsia="ＭＳ ゴシック"/>
          <w:color w:val="auto"/>
          <w:sz w:val="24"/>
        </w:rPr>
        <w:t>2</w:t>
      </w:r>
      <w:r>
        <w:rPr>
          <w:rFonts w:hint="eastAsia" w:ascii="ＭＳ ゴシック" w:hAnsi="ＭＳ ゴシック" w:eastAsia="ＭＳ ゴシック"/>
          <w:color w:val="auto"/>
          <w:sz w:val="24"/>
        </w:rPr>
        <w:t>）利便性の向上と質の高い住民サービスの提供</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0"/>
        <w:ind w:firstLine="440" w:firstLineChars="200"/>
        <w:outlineLvl w:val="2"/>
        <w:rPr>
          <w:rFonts w:hint="eastAsia" w:ascii="ＭＳ ゴシック" w:hAnsi="ＭＳ ゴシック" w:eastAsia="ＭＳ ゴシック"/>
          <w:color w:val="auto"/>
          <w:sz w:val="22"/>
        </w:rPr>
      </w:pPr>
      <w:bookmarkStart w:id="358" w:name="_Toc12484"/>
      <w:bookmarkStart w:id="359" w:name="_Toc14238"/>
      <w:bookmarkStart w:id="360" w:name="_Toc15654"/>
      <w:bookmarkStart w:id="361" w:name="_Toc16803"/>
      <w:bookmarkStart w:id="362" w:name="_Toc1801"/>
      <w:bookmarkStart w:id="363" w:name="_Toc18196"/>
      <w:bookmarkStart w:id="364" w:name="_Toc21541"/>
      <w:bookmarkStart w:id="365" w:name="_Toc22848"/>
      <w:bookmarkStart w:id="366" w:name="_Toc25516"/>
      <w:bookmarkStart w:id="367" w:name="_Toc25556"/>
      <w:bookmarkStart w:id="368" w:name="_Toc26384"/>
      <w:bookmarkStart w:id="369" w:name="_Toc30730"/>
      <w:bookmarkStart w:id="370" w:name="_Toc4464"/>
      <w:bookmarkStart w:id="371" w:name="_Toc6311"/>
      <w:r>
        <w:rPr>
          <w:rFonts w:hint="eastAsia" w:ascii="ＭＳ ゴシック" w:hAnsi="ＭＳ ゴシック" w:eastAsia="ＭＳ ゴシック"/>
          <w:color w:val="auto"/>
          <w:sz w:val="22"/>
        </w:rPr>
        <w:t>〇窓口手続きへの</w:t>
      </w:r>
      <w:r>
        <w:rPr>
          <w:rFonts w:hint="eastAsia" w:ascii="ＭＳ ゴシック" w:hAnsi="ＭＳ ゴシック" w:eastAsia="ＭＳ ゴシック"/>
          <w:color w:val="auto"/>
          <w:sz w:val="22"/>
        </w:rPr>
        <w:t>ICT</w:t>
      </w:r>
      <w:r>
        <w:rPr>
          <w:rFonts w:hint="eastAsia" w:ascii="ＭＳ ゴシック" w:hAnsi="ＭＳ ゴシック" w:eastAsia="ＭＳ ゴシック"/>
          <w:color w:val="auto"/>
          <w:sz w:val="22"/>
        </w:rPr>
        <w:t>導入</w:t>
      </w:r>
      <w:r>
        <w:rPr>
          <w:rFonts w:hint="eastAsia" w:ascii="ＭＳ ゴシック" w:hAnsi="ＭＳ ゴシック" w:eastAsia="ＭＳ ゴシック"/>
          <w:color w:val="auto"/>
          <w:sz w:val="22"/>
        </w:rPr>
        <w:tab/>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・窓口での申請簡略化や待機時間の削減など住民サービス向上及び職員の業務負担軽減を図るため、</w:t>
      </w:r>
      <w:r>
        <w:rPr>
          <w:rFonts w:hint="eastAsia" w:ascii="ＭＳ ゴシック" w:hAnsi="ＭＳ ゴシック" w:eastAsia="ＭＳ ゴシック"/>
          <w:color w:val="auto"/>
          <w:sz w:val="22"/>
        </w:rPr>
        <w:t>ICT</w:t>
      </w:r>
      <w:r>
        <w:rPr>
          <w:rFonts w:hint="eastAsia" w:ascii="ＭＳ ゴシック" w:hAnsi="ＭＳ ゴシック" w:eastAsia="ＭＳ ゴシック"/>
          <w:color w:val="auto"/>
          <w:sz w:val="22"/>
        </w:rPr>
        <w:t>による改善策を研究し、導入を検討します。</w:t>
      </w:r>
    </w:p>
    <w:p>
      <w:pPr>
        <w:pStyle w:val="0"/>
        <w:ind w:firstLine="440" w:firstLineChars="200"/>
        <w:outlineLvl w:val="2"/>
        <w:rPr>
          <w:rFonts w:hint="eastAsia" w:ascii="ＭＳ ゴシック" w:hAnsi="ＭＳ ゴシック" w:eastAsia="ＭＳ ゴシック"/>
          <w:color w:val="auto"/>
          <w:sz w:val="22"/>
        </w:rPr>
      </w:pPr>
      <w:bookmarkStart w:id="372" w:name="_Toc10548"/>
      <w:bookmarkStart w:id="373" w:name="_Toc15932"/>
      <w:bookmarkStart w:id="374" w:name="_Toc1757"/>
      <w:bookmarkStart w:id="375" w:name="_Toc17953"/>
      <w:bookmarkStart w:id="376" w:name="_Toc22194"/>
      <w:bookmarkStart w:id="377" w:name="_Toc25663"/>
      <w:bookmarkStart w:id="378" w:name="_Toc27483"/>
      <w:bookmarkStart w:id="379" w:name="_Toc27943"/>
      <w:bookmarkStart w:id="380" w:name="_Toc31269"/>
      <w:bookmarkStart w:id="381" w:name="_Toc32692"/>
      <w:bookmarkStart w:id="382" w:name="_Toc3562"/>
      <w:bookmarkStart w:id="383" w:name="_Toc618"/>
      <w:bookmarkStart w:id="384" w:name="_Toc8036"/>
      <w:bookmarkStart w:id="385" w:name="_Toc8717"/>
      <w:r>
        <w:rPr>
          <w:rFonts w:hint="eastAsia" w:ascii="ＭＳ ゴシック" w:hAnsi="ＭＳ ゴシック" w:eastAsia="ＭＳ ゴシック"/>
          <w:color w:val="auto"/>
          <w:sz w:val="22"/>
        </w:rPr>
        <w:t>〇</w:t>
      </w:r>
      <w:r>
        <w:rPr>
          <w:rFonts w:hint="eastAsia" w:ascii="ＭＳ ゴシック" w:hAnsi="ＭＳ ゴシック" w:eastAsia="ＭＳ ゴシック"/>
          <w:color w:val="auto"/>
          <w:sz w:val="22"/>
        </w:rPr>
        <w:t>ICT</w:t>
      </w:r>
      <w:r>
        <w:rPr>
          <w:rFonts w:hint="eastAsia" w:ascii="ＭＳ ゴシック" w:hAnsi="ＭＳ ゴシック" w:eastAsia="ＭＳ ゴシック"/>
          <w:color w:val="auto"/>
          <w:sz w:val="22"/>
        </w:rPr>
        <w:t>を活用した公共施設サービス・管理</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・公共施設予約システムを導入し、オンラインによる施設予約や空き状況の確認、利用料の口座払い等を可能とすることにより、施設利用の利便性を図ります。</w:t>
      </w:r>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・リモート開錠など、施設サービスの向上及び管理効率化に向けた</w:t>
      </w:r>
      <w:r>
        <w:rPr>
          <w:rFonts w:hint="eastAsia" w:ascii="ＭＳ ゴシック" w:hAnsi="ＭＳ ゴシック" w:eastAsia="ＭＳ ゴシック"/>
          <w:color w:val="auto"/>
          <w:sz w:val="22"/>
        </w:rPr>
        <w:t>ICT</w:t>
      </w:r>
      <w:r>
        <w:rPr>
          <w:rFonts w:hint="eastAsia" w:ascii="ＭＳ ゴシック" w:hAnsi="ＭＳ ゴシック" w:eastAsia="ＭＳ ゴシック"/>
          <w:color w:val="auto"/>
          <w:sz w:val="22"/>
        </w:rPr>
        <w:t>活用について研究し、導入を検討します。</w:t>
      </w:r>
    </w:p>
    <w:p>
      <w:pPr>
        <w:pStyle w:val="0"/>
        <w:ind w:firstLine="440" w:firstLineChars="200"/>
        <w:outlineLvl w:val="2"/>
        <w:rPr>
          <w:rFonts w:hint="eastAsia" w:ascii="ＭＳ ゴシック" w:hAnsi="ＭＳ ゴシック" w:eastAsia="ＭＳ ゴシック"/>
          <w:color w:val="auto"/>
          <w:sz w:val="22"/>
        </w:rPr>
      </w:pPr>
      <w:bookmarkStart w:id="386" w:name="_Toc11239"/>
      <w:bookmarkStart w:id="387" w:name="_Toc11445"/>
      <w:bookmarkStart w:id="388" w:name="_Toc14722"/>
      <w:bookmarkStart w:id="389" w:name="_Toc21641"/>
      <w:bookmarkStart w:id="390" w:name="_Toc21756"/>
      <w:bookmarkStart w:id="391" w:name="_Toc22587"/>
      <w:bookmarkStart w:id="392" w:name="_Toc23616"/>
      <w:bookmarkStart w:id="393" w:name="_Toc2528"/>
      <w:bookmarkStart w:id="394" w:name="_Toc27428"/>
      <w:bookmarkStart w:id="395" w:name="_Toc29808"/>
      <w:bookmarkStart w:id="396" w:name="_Toc5136"/>
      <w:bookmarkStart w:id="397" w:name="_Toc577"/>
      <w:bookmarkStart w:id="398" w:name="_Toc6591"/>
      <w:bookmarkStart w:id="399" w:name="_Toc718"/>
      <w:r>
        <w:rPr>
          <w:rFonts w:hint="eastAsia" w:ascii="ＭＳ ゴシック" w:hAnsi="ＭＳ ゴシック" w:eastAsia="ＭＳ ゴシック"/>
          <w:color w:val="auto"/>
          <w:sz w:val="22"/>
        </w:rPr>
        <w:t>〇公共料金キャッシュレス化（施設使用料、税・手数料等）</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・総務省の統一</w:t>
      </w:r>
      <w:r>
        <w:rPr>
          <w:rFonts w:hint="eastAsia" w:ascii="ＭＳ ゴシック" w:hAnsi="ＭＳ ゴシック" w:eastAsia="ＭＳ ゴシック"/>
          <w:color w:val="auto"/>
          <w:sz w:val="22"/>
        </w:rPr>
        <w:t>QR</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JPQR</w:t>
      </w:r>
      <w:r>
        <w:rPr>
          <w:rFonts w:hint="eastAsia" w:ascii="ＭＳ ゴシック" w:hAnsi="ＭＳ ゴシック" w:eastAsia="ＭＳ ゴシック"/>
          <w:color w:val="auto"/>
          <w:sz w:val="22"/>
        </w:rPr>
        <w:t>」をはじめとしたキャッシュレス決済を導入することにより、オンライン支払の促進など窓口での現金収納の効率化を図ります。</w:t>
      </w:r>
    </w:p>
    <w:p>
      <w:pPr>
        <w:pStyle w:val="0"/>
        <w:ind w:firstLine="440" w:firstLineChars="200"/>
        <w:outlineLvl w:val="2"/>
        <w:rPr>
          <w:rFonts w:hint="eastAsia" w:ascii="ＭＳ ゴシック" w:hAnsi="ＭＳ ゴシック" w:eastAsia="ＭＳ ゴシック"/>
          <w:color w:val="auto"/>
          <w:sz w:val="22"/>
        </w:rPr>
      </w:pPr>
      <w:bookmarkStart w:id="400" w:name="_Toc14079"/>
      <w:bookmarkStart w:id="401" w:name="_Toc15408"/>
      <w:bookmarkStart w:id="402" w:name="_Toc17162"/>
      <w:bookmarkStart w:id="403" w:name="_Toc22181"/>
      <w:bookmarkStart w:id="404" w:name="_Toc23378"/>
      <w:bookmarkStart w:id="405" w:name="_Toc2431"/>
      <w:bookmarkStart w:id="406" w:name="_Toc24408"/>
      <w:bookmarkStart w:id="407" w:name="_Toc30829"/>
      <w:bookmarkStart w:id="408" w:name="_Toc31065"/>
      <w:bookmarkStart w:id="409" w:name="_Toc32441"/>
      <w:bookmarkStart w:id="410" w:name="_Toc3399"/>
      <w:bookmarkStart w:id="411" w:name="_Toc4594"/>
      <w:bookmarkStart w:id="412" w:name="_Toc6713"/>
      <w:bookmarkStart w:id="413" w:name="_Toc9222"/>
      <w:r>
        <w:rPr>
          <w:rFonts w:hint="eastAsia" w:ascii="ＭＳ ゴシック" w:hAnsi="ＭＳ ゴシック" w:eastAsia="ＭＳ ゴシック"/>
          <w:color w:val="auto"/>
          <w:sz w:val="22"/>
        </w:rPr>
        <w:t>〇</w:t>
      </w:r>
      <w:r>
        <w:rPr>
          <w:rFonts w:hint="eastAsia" w:ascii="ＭＳ ゴシック" w:hAnsi="ＭＳ ゴシック" w:eastAsia="ＭＳ ゴシック"/>
          <w:color w:val="auto"/>
          <w:sz w:val="22"/>
        </w:rPr>
        <w:t>SNS</w:t>
      </w:r>
      <w:r>
        <w:rPr>
          <w:rFonts w:hint="eastAsia" w:ascii="ＭＳ ゴシック" w:hAnsi="ＭＳ ゴシック" w:eastAsia="ＭＳ ゴシック"/>
          <w:color w:val="auto"/>
          <w:sz w:val="22"/>
        </w:rPr>
        <w:t>等を活用した市民と行政の情報共有</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・これまで郵送などにより紙で通知・回答していた行政と市民のやりとりにおいて、電子データの通知や共有により、迅速かつ効果的なコミュニケーション及び連携が図られるよう</w:t>
      </w:r>
      <w:r>
        <w:rPr>
          <w:rFonts w:hint="eastAsia" w:ascii="ＭＳ ゴシック" w:hAnsi="ＭＳ ゴシック" w:eastAsia="ＭＳ ゴシック"/>
          <w:color w:val="auto"/>
          <w:sz w:val="22"/>
        </w:rPr>
        <w:t>SNS</w:t>
      </w:r>
      <w:r>
        <w:rPr>
          <w:rFonts w:hint="eastAsia" w:ascii="ＭＳ ゴシック" w:hAnsi="ＭＳ ゴシック" w:eastAsia="ＭＳ ゴシック"/>
          <w:color w:val="auto"/>
          <w:sz w:val="22"/>
        </w:rPr>
        <w:t>等を活用した手法を研究し、導入を検討します。</w:t>
      </w:r>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・より有効な広報広聴の手段として、行政から市民に対する情報発信や市民から行政への問い合わせ・通報手段などにおける</w:t>
      </w:r>
      <w:r>
        <w:rPr>
          <w:rFonts w:hint="eastAsia" w:ascii="ＭＳ ゴシック" w:hAnsi="ＭＳ ゴシック" w:eastAsia="ＭＳ ゴシック"/>
          <w:color w:val="auto"/>
          <w:sz w:val="22"/>
        </w:rPr>
        <w:t>SNS</w:t>
      </w:r>
      <w:r>
        <w:rPr>
          <w:rFonts w:hint="eastAsia" w:ascii="ＭＳ ゴシック" w:hAnsi="ＭＳ ゴシック" w:eastAsia="ＭＳ ゴシック"/>
          <w:color w:val="auto"/>
          <w:sz w:val="22"/>
        </w:rPr>
        <w:t>等の活用について導入を検討します。</w:t>
      </w:r>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・対面で行ってきた面談や研修・イベント等について、遠隔地からの参加においても円滑なコミュニケーションが図られるよう</w:t>
      </w:r>
      <w:r>
        <w:rPr>
          <w:rFonts w:hint="eastAsia" w:ascii="ＭＳ ゴシック" w:hAnsi="ＭＳ ゴシック" w:eastAsia="ＭＳ ゴシック"/>
          <w:color w:val="auto"/>
          <w:sz w:val="22"/>
        </w:rPr>
        <w:t>SNS</w:t>
      </w:r>
      <w:r>
        <w:rPr>
          <w:rFonts w:hint="eastAsia" w:ascii="ＭＳ ゴシック" w:hAnsi="ＭＳ ゴシック" w:eastAsia="ＭＳ ゴシック"/>
          <w:color w:val="auto"/>
          <w:sz w:val="22"/>
        </w:rPr>
        <w:t>等の活用について導入を検討します。</w:t>
      </w:r>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・多様な住民の意見や考えを政策に反映するため、住民参加型のデジタルプラットフォームについて調査研究を行います。</w:t>
      </w:r>
    </w:p>
    <w:p>
      <w:pPr>
        <w:pStyle w:val="0"/>
        <w:rPr>
          <w:rFonts w:hint="eastAsia" w:ascii="ＭＳ ゴシック" w:hAnsi="ＭＳ ゴシック" w:eastAsia="ＭＳ ゴシック"/>
          <w:color w:val="auto"/>
          <w:sz w:val="22"/>
        </w:rPr>
      </w:pPr>
    </w:p>
    <w:p>
      <w:pPr>
        <w:pStyle w:val="0"/>
        <w:ind w:left="480" w:hanging="480" w:hangingChars="200"/>
        <w:outlineLvl w:val="1"/>
        <w:rPr>
          <w:rFonts w:hint="eastAsia" w:ascii="ＭＳ ゴシック" w:hAnsi="ＭＳ ゴシック" w:eastAsia="ＭＳ ゴシック"/>
          <w:color w:val="auto"/>
          <w:sz w:val="22"/>
        </w:rPr>
      </w:pPr>
      <w:bookmarkStart w:id="414" w:name="_Toc1080"/>
      <w:bookmarkStart w:id="415" w:name="_Toc11714"/>
      <w:bookmarkStart w:id="416" w:name="_Toc1570"/>
      <w:bookmarkStart w:id="417" w:name="_Toc18012"/>
      <w:bookmarkStart w:id="418" w:name="_Toc21739"/>
      <w:bookmarkStart w:id="419" w:name="_Toc21795"/>
      <w:bookmarkStart w:id="420" w:name="_Toc25861"/>
      <w:bookmarkStart w:id="421" w:name="_Toc27070"/>
      <w:bookmarkStart w:id="422" w:name="_Toc28211"/>
      <w:bookmarkStart w:id="423" w:name="_Toc30351"/>
      <w:bookmarkStart w:id="424" w:name="_Toc31461"/>
      <w:bookmarkStart w:id="425" w:name="_Toc9304"/>
      <w:bookmarkStart w:id="426" w:name="_Toc9309"/>
      <w:bookmarkStart w:id="427" w:name="_Toc941"/>
      <w:r>
        <w:rPr>
          <w:rFonts w:hint="eastAsia" w:ascii="ＭＳ ゴシック" w:hAnsi="ＭＳ ゴシック" w:eastAsia="ＭＳ ゴシック"/>
          <w:color w:val="auto"/>
          <w:sz w:val="24"/>
        </w:rPr>
        <w:t>（</w:t>
      </w:r>
      <w:r>
        <w:rPr>
          <w:rFonts w:hint="eastAsia" w:ascii="ＭＳ ゴシック" w:hAnsi="ＭＳ ゴシック" w:eastAsia="ＭＳ ゴシック"/>
          <w:color w:val="auto"/>
          <w:sz w:val="24"/>
        </w:rPr>
        <w:t>3</w:t>
      </w:r>
      <w:r>
        <w:rPr>
          <w:rFonts w:hint="eastAsia" w:ascii="ＭＳ ゴシック" w:hAnsi="ＭＳ ゴシック" w:eastAsia="ＭＳ ゴシック"/>
          <w:color w:val="auto"/>
          <w:sz w:val="24"/>
        </w:rPr>
        <w:t>）効率的・効果的な行政運営</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0"/>
        <w:ind w:left="420" w:leftChars="200" w:firstLine="0" w:firstLineChars="0"/>
        <w:outlineLvl w:val="2"/>
        <w:rPr>
          <w:rFonts w:hint="eastAsia" w:ascii="ＭＳ ゴシック" w:hAnsi="ＭＳ ゴシック" w:eastAsia="ＭＳ ゴシック"/>
          <w:color w:val="auto"/>
          <w:sz w:val="22"/>
        </w:rPr>
      </w:pPr>
      <w:bookmarkStart w:id="428" w:name="_Toc14276"/>
      <w:bookmarkStart w:id="429" w:name="_Toc15227"/>
      <w:bookmarkStart w:id="430" w:name="_Toc15971"/>
      <w:bookmarkStart w:id="431" w:name="_Toc17164"/>
      <w:bookmarkStart w:id="432" w:name="_Toc17513"/>
      <w:bookmarkStart w:id="433" w:name="_Toc18803"/>
      <w:bookmarkStart w:id="434" w:name="_Toc19000"/>
      <w:bookmarkStart w:id="435" w:name="_Toc20528"/>
      <w:bookmarkStart w:id="436" w:name="_Toc21983"/>
      <w:bookmarkStart w:id="437" w:name="_Toc27413"/>
      <w:bookmarkStart w:id="438" w:name="_Toc4050"/>
      <w:bookmarkStart w:id="439" w:name="_Toc6377"/>
      <w:bookmarkStart w:id="440" w:name="_Toc7865"/>
      <w:bookmarkStart w:id="441" w:name="_Toc8336"/>
      <w:r>
        <w:rPr>
          <w:rFonts w:hint="eastAsia" w:ascii="ＭＳ ゴシック" w:hAnsi="ＭＳ ゴシック" w:eastAsia="ＭＳ ゴシック"/>
          <w:color w:val="auto"/>
          <w:sz w:val="22"/>
        </w:rPr>
        <w:t>〇電子決裁の推進・ペーパーレス化</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事務決裁フローの見直しを図り、電子決裁の推進による意思決定の高速化やテレワーク推進など業務効率化を向上させるとともに、紙文書のペーパーレス化に伴う不用な紙コストの削減や書類保管の省スペース化など職場環境の改善や働き方改革を促します。</w:t>
      </w:r>
    </w:p>
    <w:p>
      <w:pPr>
        <w:pStyle w:val="0"/>
        <w:ind w:left="420" w:leftChars="200" w:firstLine="0" w:firstLineChars="0"/>
        <w:outlineLvl w:val="2"/>
        <w:rPr>
          <w:rFonts w:hint="eastAsia" w:ascii="ＭＳ ゴシック" w:hAnsi="ＭＳ ゴシック" w:eastAsia="ＭＳ ゴシック"/>
          <w:color w:val="auto"/>
          <w:sz w:val="22"/>
        </w:rPr>
      </w:pPr>
      <w:bookmarkStart w:id="442" w:name="_Toc11265"/>
      <w:bookmarkStart w:id="443" w:name="_Toc12573"/>
      <w:bookmarkStart w:id="444" w:name="_Toc22719"/>
      <w:bookmarkStart w:id="445" w:name="_Toc24213"/>
      <w:bookmarkStart w:id="446" w:name="_Toc24815"/>
      <w:bookmarkStart w:id="447" w:name="_Toc249"/>
      <w:bookmarkStart w:id="448" w:name="_Toc27084"/>
      <w:bookmarkStart w:id="449" w:name="_Toc279"/>
      <w:bookmarkStart w:id="450" w:name="_Toc3213"/>
      <w:bookmarkStart w:id="451" w:name="_Toc32348"/>
      <w:bookmarkStart w:id="452" w:name="_Toc32693"/>
      <w:bookmarkStart w:id="453" w:name="_Toc32721"/>
      <w:bookmarkStart w:id="454" w:name="_Toc7143"/>
      <w:bookmarkStart w:id="455" w:name="_Toc7416"/>
      <w:r>
        <w:rPr>
          <w:rFonts w:hint="eastAsia" w:ascii="ＭＳ ゴシック" w:hAnsi="ＭＳ ゴシック" w:eastAsia="ＭＳ ゴシック"/>
          <w:color w:val="auto"/>
          <w:sz w:val="22"/>
        </w:rPr>
        <w:t>〇ペーパーレス会議の推進</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・これまで紙資料として配布していた会議資料等を</w:t>
      </w:r>
      <w:r>
        <w:rPr>
          <w:rFonts w:hint="eastAsia" w:ascii="ＭＳ ゴシック" w:hAnsi="ＭＳ ゴシック" w:eastAsia="ＭＳ ゴシック"/>
          <w:color w:val="auto"/>
          <w:sz w:val="22"/>
        </w:rPr>
        <w:t>PC</w:t>
      </w:r>
      <w:r>
        <w:rPr>
          <w:rFonts w:hint="eastAsia" w:ascii="ＭＳ ゴシック" w:hAnsi="ＭＳ ゴシック" w:eastAsia="ＭＳ ゴシック"/>
          <w:color w:val="auto"/>
          <w:sz w:val="22"/>
        </w:rPr>
        <w:t>端末で閲覧できる電子データで配布することにより、紙資料の印刷・配布に係る作業やコストの削減を図ります。</w:t>
      </w:r>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・会議における</w:t>
      </w:r>
      <w:r>
        <w:rPr>
          <w:rFonts w:hint="eastAsia" w:ascii="ＭＳ ゴシック" w:hAnsi="ＭＳ ゴシック" w:eastAsia="ＭＳ ゴシック"/>
          <w:color w:val="auto"/>
          <w:sz w:val="22"/>
        </w:rPr>
        <w:t>PC</w:t>
      </w:r>
      <w:r>
        <w:rPr>
          <w:rFonts w:hint="eastAsia" w:ascii="ＭＳ ゴシック" w:hAnsi="ＭＳ ゴシック" w:eastAsia="ＭＳ ゴシック"/>
          <w:color w:val="auto"/>
          <w:sz w:val="22"/>
        </w:rPr>
        <w:t>端末の活用により、場所・時間の制限を受けずに効率的な会議の実施を図ります。</w:t>
      </w:r>
    </w:p>
    <w:p>
      <w:pPr>
        <w:pStyle w:val="0"/>
        <w:ind w:firstLine="440" w:firstLineChars="200"/>
        <w:outlineLvl w:val="2"/>
        <w:rPr>
          <w:rFonts w:hint="eastAsia" w:ascii="ＭＳ ゴシック" w:hAnsi="ＭＳ ゴシック" w:eastAsia="ＭＳ ゴシック"/>
          <w:color w:val="auto"/>
          <w:sz w:val="22"/>
        </w:rPr>
      </w:pPr>
      <w:bookmarkStart w:id="456" w:name="_Toc13018"/>
      <w:bookmarkStart w:id="457" w:name="_Toc13352"/>
      <w:bookmarkStart w:id="458" w:name="_Toc17391"/>
      <w:bookmarkStart w:id="459" w:name="_Toc18168"/>
      <w:bookmarkStart w:id="460" w:name="_Toc22001"/>
      <w:bookmarkStart w:id="461" w:name="_Toc24938"/>
      <w:bookmarkStart w:id="462" w:name="_Toc2702"/>
      <w:bookmarkStart w:id="463" w:name="_Toc28685"/>
      <w:bookmarkStart w:id="464" w:name="_Toc28996"/>
      <w:bookmarkStart w:id="465" w:name="_Toc31675"/>
      <w:bookmarkStart w:id="466" w:name="_Toc3468"/>
      <w:bookmarkStart w:id="467" w:name="_Toc4616"/>
      <w:bookmarkStart w:id="468" w:name="_Toc622"/>
      <w:bookmarkStart w:id="469" w:name="_Toc811"/>
      <w:r>
        <w:rPr>
          <w:rFonts w:hint="eastAsia" w:ascii="ＭＳ ゴシック" w:hAnsi="ＭＳ ゴシック" w:eastAsia="ＭＳ ゴシック"/>
          <w:color w:val="auto"/>
          <w:sz w:val="22"/>
        </w:rPr>
        <w:t>〇電子契約の導入</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・「紙</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押印」に代わり「電子文書</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電子署名」で締結する電子契約の導入を検討し、令和</w:t>
      </w:r>
      <w:r>
        <w:rPr>
          <w:rFonts w:hint="eastAsia" w:ascii="ＭＳ ゴシック" w:hAnsi="ＭＳ ゴシック" w:eastAsia="ＭＳ ゴシック"/>
          <w:color w:val="auto"/>
          <w:sz w:val="22"/>
        </w:rPr>
        <w:t>3</w:t>
      </w:r>
      <w:r>
        <w:rPr>
          <w:rFonts w:hint="eastAsia" w:ascii="ＭＳ ゴシック" w:hAnsi="ＭＳ ゴシック" w:eastAsia="ＭＳ ゴシック"/>
          <w:color w:val="auto"/>
          <w:sz w:val="22"/>
        </w:rPr>
        <w:t>年度に導入した電子入札とあわせて契約事務全体を電子化することで、契約事務に係るコスト削減や手続きの迅速化等を図ります。</w:t>
      </w:r>
    </w:p>
    <w:p>
      <w:pPr>
        <w:pStyle w:val="0"/>
        <w:ind w:left="420" w:leftChars="200" w:firstLine="0" w:firstLineChars="0"/>
        <w:outlineLvl w:val="2"/>
        <w:rPr>
          <w:rFonts w:hint="eastAsia" w:ascii="ＭＳ ゴシック" w:hAnsi="ＭＳ ゴシック" w:eastAsia="ＭＳ ゴシック"/>
          <w:color w:val="auto"/>
          <w:sz w:val="22"/>
        </w:rPr>
      </w:pPr>
      <w:bookmarkStart w:id="470" w:name="_Toc11196"/>
      <w:bookmarkStart w:id="471" w:name="_Toc11659"/>
      <w:bookmarkStart w:id="472" w:name="_Toc14008"/>
      <w:bookmarkStart w:id="473" w:name="_Toc14478"/>
      <w:bookmarkStart w:id="474" w:name="_Toc21913"/>
      <w:bookmarkStart w:id="475" w:name="_Toc24020"/>
      <w:bookmarkStart w:id="476" w:name="_Toc2730"/>
      <w:bookmarkStart w:id="477" w:name="_Toc27489"/>
      <w:bookmarkStart w:id="478" w:name="_Toc30029"/>
      <w:bookmarkStart w:id="479" w:name="_Toc4905"/>
      <w:bookmarkStart w:id="480" w:name="_Toc6304"/>
      <w:bookmarkStart w:id="481" w:name="_Toc6496"/>
      <w:bookmarkStart w:id="482" w:name="_Toc9311"/>
      <w:bookmarkStart w:id="483" w:name="_Toc9881"/>
      <w:r>
        <w:rPr>
          <w:rFonts w:hint="eastAsia" w:ascii="ＭＳ ゴシック" w:hAnsi="ＭＳ ゴシック" w:eastAsia="ＭＳ ゴシック"/>
          <w:color w:val="auto"/>
          <w:sz w:val="22"/>
        </w:rPr>
        <w:t>〇職員のリテラシー向上及びその他</w:t>
      </w:r>
      <w:r>
        <w:rPr>
          <w:rFonts w:hint="eastAsia" w:ascii="ＭＳ ゴシック" w:hAnsi="ＭＳ ゴシック" w:eastAsia="ＭＳ ゴシック"/>
          <w:color w:val="auto"/>
          <w:sz w:val="22"/>
        </w:rPr>
        <w:t>ICT</w:t>
      </w:r>
      <w:r>
        <w:rPr>
          <w:rFonts w:hint="eastAsia" w:ascii="ＭＳ ゴシック" w:hAnsi="ＭＳ ゴシック" w:eastAsia="ＭＳ ゴシック"/>
          <w:color w:val="auto"/>
          <w:sz w:val="22"/>
        </w:rPr>
        <w:t>利活用の調査・研究</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2040</w:t>
      </w:r>
      <w:r>
        <w:rPr>
          <w:rFonts w:hint="eastAsia" w:ascii="ＭＳ ゴシック" w:hAnsi="ＭＳ ゴシック" w:eastAsia="ＭＳ ゴシック"/>
          <w:color w:val="auto"/>
          <w:sz w:val="22"/>
        </w:rPr>
        <w:t>年問題（人口減少による職員減）への課題対応に向けて、人的資源を行政サービスの更なる向上に繋げていくため、職員のリテラシー向上を図るとともに業務への利活用を目的とした各デジタル技術について引き続き調査・研究し、効果の高い</w:t>
      </w:r>
      <w:r>
        <w:rPr>
          <w:rFonts w:hint="eastAsia" w:ascii="ＭＳ ゴシック" w:hAnsi="ＭＳ ゴシック" w:eastAsia="ＭＳ ゴシック"/>
          <w:color w:val="auto"/>
          <w:sz w:val="22"/>
        </w:rPr>
        <w:t>ICT</w:t>
      </w:r>
      <w:r>
        <w:rPr>
          <w:rFonts w:hint="eastAsia" w:ascii="ＭＳ ゴシック" w:hAnsi="ＭＳ ゴシック" w:eastAsia="ＭＳ ゴシック"/>
          <w:color w:val="auto"/>
          <w:sz w:val="22"/>
        </w:rPr>
        <w:t>を積極的に導入します。</w:t>
      </w:r>
    </w:p>
    <w:p>
      <w:pPr>
        <w:pStyle w:val="0"/>
        <w:rPr>
          <w:rFonts w:hint="eastAsia" w:ascii="ＭＳ ゴシック" w:hAnsi="ＭＳ ゴシック" w:eastAsia="ＭＳ ゴシック"/>
          <w:color w:val="auto"/>
          <w:sz w:val="22"/>
        </w:rPr>
      </w:pPr>
    </w:p>
    <w:p>
      <w:pPr>
        <w:pStyle w:val="0"/>
        <w:ind w:left="480" w:hanging="480" w:hangingChars="200"/>
        <w:outlineLvl w:val="1"/>
        <w:rPr>
          <w:rFonts w:hint="eastAsia" w:ascii="ＭＳ ゴシック" w:hAnsi="ＭＳ ゴシック" w:eastAsia="ＭＳ ゴシック"/>
          <w:color w:val="auto"/>
          <w:sz w:val="22"/>
        </w:rPr>
      </w:pPr>
      <w:bookmarkStart w:id="484" w:name="_Toc12350"/>
      <w:bookmarkStart w:id="485" w:name="_Toc13319"/>
      <w:bookmarkStart w:id="486" w:name="_Toc16110"/>
      <w:bookmarkStart w:id="487" w:name="_Toc21237"/>
      <w:bookmarkStart w:id="488" w:name="_Toc23480"/>
      <w:bookmarkStart w:id="489" w:name="_Toc28246"/>
      <w:bookmarkStart w:id="490" w:name="_Toc30800"/>
      <w:bookmarkStart w:id="491" w:name="_Toc3197"/>
      <w:bookmarkStart w:id="492" w:name="_Toc32080"/>
      <w:bookmarkStart w:id="493" w:name="_Toc5285"/>
      <w:bookmarkStart w:id="494" w:name="_Toc5815"/>
      <w:bookmarkStart w:id="495" w:name="_Toc8352"/>
      <w:bookmarkStart w:id="496" w:name="_Toc9055"/>
      <w:bookmarkStart w:id="497" w:name="_Toc9606"/>
      <w:r>
        <w:rPr>
          <w:rFonts w:hint="eastAsia" w:ascii="ＭＳ ゴシック" w:hAnsi="ＭＳ ゴシック" w:eastAsia="ＭＳ ゴシック"/>
          <w:color w:val="auto"/>
          <w:sz w:val="24"/>
        </w:rPr>
        <w:t>（</w:t>
      </w:r>
      <w:r>
        <w:rPr>
          <w:rFonts w:hint="eastAsia" w:ascii="ＭＳ ゴシック" w:hAnsi="ＭＳ ゴシック" w:eastAsia="ＭＳ ゴシック"/>
          <w:color w:val="auto"/>
          <w:sz w:val="24"/>
        </w:rPr>
        <w:t>4</w:t>
      </w:r>
      <w:r>
        <w:rPr>
          <w:rFonts w:hint="eastAsia" w:ascii="ＭＳ ゴシック" w:hAnsi="ＭＳ ゴシック" w:eastAsia="ＭＳ ゴシック"/>
          <w:color w:val="auto"/>
          <w:sz w:val="24"/>
        </w:rPr>
        <w:t>）地域課題の解決</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0"/>
        <w:ind w:firstLine="440" w:firstLineChars="200"/>
        <w:outlineLvl w:val="2"/>
        <w:rPr>
          <w:rFonts w:hint="eastAsia" w:ascii="ＭＳ ゴシック" w:hAnsi="ＭＳ ゴシック" w:eastAsia="ＭＳ ゴシック"/>
          <w:color w:val="auto"/>
          <w:sz w:val="22"/>
        </w:rPr>
      </w:pPr>
      <w:bookmarkStart w:id="498" w:name="_Toc15023"/>
      <w:bookmarkStart w:id="499" w:name="_Toc22256"/>
      <w:bookmarkStart w:id="500" w:name="_Toc23540"/>
      <w:bookmarkStart w:id="501" w:name="_Toc25821"/>
      <w:bookmarkStart w:id="502" w:name="_Toc26683"/>
      <w:bookmarkStart w:id="503" w:name="_Toc4875"/>
      <w:bookmarkStart w:id="504" w:name="_Toc5848"/>
      <w:bookmarkStart w:id="505" w:name="_Toc6737"/>
      <w:bookmarkStart w:id="506" w:name="_Toc6791"/>
      <w:bookmarkStart w:id="507" w:name="_Toc7606"/>
      <w:bookmarkStart w:id="508" w:name="_Toc7798"/>
      <w:bookmarkStart w:id="509" w:name="_Toc7989"/>
      <w:bookmarkStart w:id="510" w:name="_Toc8729"/>
      <w:bookmarkStart w:id="511" w:name="_Toc9302"/>
      <w:r>
        <w:rPr>
          <w:rFonts w:hint="eastAsia" w:ascii="ＭＳ ゴシック" w:hAnsi="ＭＳ ゴシック" w:eastAsia="ＭＳ ゴシック"/>
          <w:color w:val="auto"/>
          <w:sz w:val="22"/>
        </w:rPr>
        <w:t>〇公衆</w:t>
      </w:r>
      <w:r>
        <w:rPr>
          <w:rFonts w:hint="eastAsia" w:ascii="ＭＳ ゴシック" w:hAnsi="ＭＳ ゴシック" w:eastAsia="ＭＳ ゴシック"/>
          <w:color w:val="auto"/>
          <w:sz w:val="22"/>
        </w:rPr>
        <w:t>wi-fi</w:t>
      </w:r>
      <w:r>
        <w:rPr>
          <w:rFonts w:hint="eastAsia" w:ascii="ＭＳ ゴシック" w:hAnsi="ＭＳ ゴシック" w:eastAsia="ＭＳ ゴシック"/>
          <w:color w:val="auto"/>
          <w:sz w:val="22"/>
        </w:rPr>
        <w:t>設置</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・市内の各所で超高速通信を活用した</w:t>
      </w:r>
      <w:r>
        <w:rPr>
          <w:rFonts w:hint="eastAsia" w:ascii="ＭＳ ゴシック" w:hAnsi="ＭＳ ゴシック" w:eastAsia="ＭＳ ゴシック"/>
          <w:color w:val="auto"/>
          <w:sz w:val="22"/>
        </w:rPr>
        <w:t>WEB</w:t>
      </w:r>
      <w:r>
        <w:rPr>
          <w:rFonts w:hint="eastAsia" w:ascii="ＭＳ ゴシック" w:hAnsi="ＭＳ ゴシック" w:eastAsia="ＭＳ ゴシック"/>
          <w:color w:val="auto"/>
          <w:sz w:val="22"/>
        </w:rPr>
        <w:t>サービス等が利用できるよう、公共施設への公衆</w:t>
      </w:r>
      <w:r>
        <w:rPr>
          <w:rFonts w:hint="eastAsia" w:ascii="ＭＳ ゴシック" w:hAnsi="ＭＳ ゴシック" w:eastAsia="ＭＳ ゴシック"/>
          <w:color w:val="auto"/>
          <w:sz w:val="22"/>
        </w:rPr>
        <w:t>wi-fi</w:t>
      </w:r>
      <w:r>
        <w:rPr>
          <w:rFonts w:hint="eastAsia" w:ascii="ＭＳ ゴシック" w:hAnsi="ＭＳ ゴシック" w:eastAsia="ＭＳ ゴシック"/>
          <w:color w:val="auto"/>
          <w:sz w:val="22"/>
        </w:rPr>
        <w:t>設置を推進します。</w:t>
      </w:r>
    </w:p>
    <w:p>
      <w:pPr>
        <w:pStyle w:val="0"/>
        <w:ind w:firstLine="440" w:firstLineChars="200"/>
        <w:outlineLvl w:val="2"/>
        <w:rPr>
          <w:rFonts w:hint="eastAsia" w:ascii="ＭＳ ゴシック" w:hAnsi="ＭＳ ゴシック" w:eastAsia="ＭＳ ゴシック"/>
          <w:color w:val="auto"/>
          <w:sz w:val="22"/>
        </w:rPr>
      </w:pPr>
      <w:bookmarkStart w:id="512" w:name="_Toc1111"/>
      <w:bookmarkStart w:id="513" w:name="_Toc13675"/>
      <w:bookmarkStart w:id="514" w:name="_Toc15453"/>
      <w:bookmarkStart w:id="515" w:name="_Toc15553"/>
      <w:bookmarkStart w:id="516" w:name="_Toc18081"/>
      <w:bookmarkStart w:id="517" w:name="_Toc22130"/>
      <w:bookmarkStart w:id="518" w:name="_Toc22235"/>
      <w:bookmarkStart w:id="519" w:name="_Toc23170"/>
      <w:bookmarkStart w:id="520" w:name="_Toc30210"/>
      <w:bookmarkStart w:id="521" w:name="_Toc30806"/>
      <w:bookmarkStart w:id="522" w:name="_Toc3877"/>
      <w:bookmarkStart w:id="523" w:name="_Toc5276"/>
      <w:bookmarkStart w:id="524" w:name="_Toc8477"/>
      <w:bookmarkStart w:id="525" w:name="_Toc873"/>
      <w:r>
        <w:rPr>
          <w:rFonts w:hint="eastAsia" w:ascii="ＭＳ ゴシック" w:hAnsi="ＭＳ ゴシック" w:eastAsia="ＭＳ ゴシック"/>
          <w:color w:val="auto"/>
          <w:sz w:val="22"/>
        </w:rPr>
        <w:t>〇ローカル</w:t>
      </w:r>
      <w:r>
        <w:rPr>
          <w:rFonts w:hint="eastAsia" w:ascii="ＭＳ ゴシック" w:hAnsi="ＭＳ ゴシック" w:eastAsia="ＭＳ ゴシック"/>
          <w:color w:val="auto"/>
          <w:sz w:val="22"/>
        </w:rPr>
        <w:t>5G</w:t>
      </w:r>
      <w:r>
        <w:rPr>
          <w:rFonts w:hint="eastAsia" w:ascii="ＭＳ ゴシック" w:hAnsi="ＭＳ ゴシック" w:eastAsia="ＭＳ ゴシック"/>
          <w:color w:val="auto"/>
          <w:sz w:val="22"/>
        </w:rPr>
        <w:t>活用</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0"/>
        <w:ind w:left="850" w:leftChars="30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・ローカル</w:t>
      </w:r>
      <w:r>
        <w:rPr>
          <w:rFonts w:hint="eastAsia" w:ascii="ＭＳ ゴシック" w:hAnsi="ＭＳ ゴシック" w:eastAsia="ＭＳ ゴシック"/>
          <w:color w:val="auto"/>
          <w:sz w:val="22"/>
        </w:rPr>
        <w:t>5G</w:t>
      </w:r>
      <w:r>
        <w:rPr>
          <w:rFonts w:hint="eastAsia" w:ascii="ＭＳ ゴシック" w:hAnsi="ＭＳ ゴシック" w:eastAsia="ＭＳ ゴシック"/>
          <w:color w:val="auto"/>
          <w:sz w:val="22"/>
        </w:rPr>
        <w:t>の特性である「超高速」、「多数同時接続」、「超低遅延」と</w:t>
      </w:r>
      <w:r>
        <w:rPr>
          <w:rFonts w:hint="eastAsia" w:ascii="ＭＳ ゴシック" w:hAnsi="ＭＳ ゴシック" w:eastAsia="ＭＳ ゴシック"/>
          <w:color w:val="auto"/>
          <w:sz w:val="22"/>
        </w:rPr>
        <w:t>IoT</w:t>
      </w:r>
      <w:r>
        <w:rPr>
          <w:rFonts w:hint="eastAsia" w:ascii="ＭＳ ゴシック" w:hAnsi="ＭＳ ゴシック" w:eastAsia="ＭＳ ゴシック"/>
          <w:color w:val="auto"/>
          <w:sz w:val="22"/>
        </w:rPr>
        <w:t>機器の活用などを研究し、地域課題の解決を促進します。</w:t>
      </w:r>
    </w:p>
    <w:p>
      <w:pPr>
        <w:pStyle w:val="0"/>
        <w:ind w:left="0" w:leftChars="0" w:firstLine="440" w:firstLineChars="200"/>
        <w:outlineLvl w:val="2"/>
        <w:rPr>
          <w:rFonts w:hint="eastAsia" w:ascii="ＭＳ ゴシック" w:hAnsi="ＭＳ ゴシック" w:eastAsia="ＭＳ ゴシック"/>
          <w:color w:val="auto"/>
          <w:sz w:val="22"/>
        </w:rPr>
      </w:pPr>
      <w:bookmarkStart w:id="526" w:name="_Toc15809"/>
      <w:bookmarkStart w:id="527" w:name="_Toc18474"/>
      <w:bookmarkStart w:id="528" w:name="_Toc20058"/>
      <w:bookmarkStart w:id="529" w:name="_Toc21700"/>
      <w:bookmarkStart w:id="530" w:name="_Toc21779"/>
      <w:bookmarkStart w:id="531" w:name="_Toc24146"/>
      <w:bookmarkStart w:id="532" w:name="_Toc25194"/>
      <w:bookmarkStart w:id="533" w:name="_Toc3136"/>
      <w:bookmarkStart w:id="534" w:name="_Toc3153"/>
      <w:bookmarkStart w:id="535" w:name="_Toc31875"/>
      <w:bookmarkStart w:id="536" w:name="_Toc4393"/>
      <w:bookmarkStart w:id="537" w:name="_Toc765"/>
      <w:bookmarkStart w:id="538" w:name="_Toc8679"/>
      <w:bookmarkStart w:id="539" w:name="_Toc9654"/>
      <w:r>
        <w:rPr>
          <w:rFonts w:hint="eastAsia" w:ascii="ＭＳ ゴシック" w:hAnsi="ＭＳ ゴシック" w:eastAsia="ＭＳ ゴシック"/>
          <w:color w:val="auto"/>
          <w:sz w:val="22"/>
        </w:rPr>
        <w:t>〇ドローン活用</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0"/>
        <w:ind w:left="850" w:leftChars="300" w:hanging="220" w:hangingChars="100"/>
        <w:rPr>
          <w:rFonts w:hint="eastAsia" w:ascii="ＭＳ ゴシック" w:hAnsi="ＭＳ ゴシック" w:eastAsia="ＭＳ ゴシック"/>
          <w:color w:val="auto"/>
          <w:sz w:val="22"/>
        </w:rPr>
      </w:pPr>
      <w:bookmarkStart w:id="540" w:name="_Toc28153"/>
      <w:r>
        <w:rPr>
          <w:rFonts w:hint="eastAsia" w:ascii="ＭＳ ゴシック" w:hAnsi="ＭＳ ゴシック" w:eastAsia="ＭＳ ゴシック"/>
          <w:color w:val="auto"/>
          <w:sz w:val="22"/>
        </w:rPr>
        <w:t>・ドローンによる遠隔飛行や空撮などの有効性を活用した地域課題の解決及び災害状況の早期把握等を図るため、ドローンや撮影動画・画像の共有システム等の活用を研究し、導入を検討します。</w:t>
      </w:r>
      <w:bookmarkEnd w:id="540"/>
    </w:p>
    <w:p>
      <w:pPr>
        <w:pStyle w:val="1"/>
        <w:ind w:leftChars="0" w:firstLineChars="0"/>
        <w:rPr>
          <w:rFonts w:hint="eastAsia" w:ascii="ＭＳ ゴシック" w:hAnsi="ＭＳ ゴシック" w:eastAsia="ＭＳ ゴシック"/>
          <w:color w:val="auto"/>
          <w:sz w:val="22"/>
        </w:rPr>
      </w:pPr>
      <w:bookmarkStart w:id="541" w:name="_Toc10739"/>
      <w:bookmarkStart w:id="542" w:name="_Toc1611"/>
      <w:bookmarkStart w:id="543" w:name="_Toc16196"/>
      <w:bookmarkStart w:id="544" w:name="_Toc2677"/>
      <w:bookmarkStart w:id="545" w:name="_Toc27437"/>
      <w:bookmarkStart w:id="546" w:name="_Toc2813"/>
      <w:bookmarkStart w:id="547" w:name="_Toc30394"/>
      <w:bookmarkStart w:id="548" w:name="_Toc30435"/>
      <w:bookmarkStart w:id="549" w:name="_Toc30927"/>
      <w:bookmarkStart w:id="550" w:name="_Toc5920"/>
      <w:bookmarkStart w:id="551" w:name="_Toc8505"/>
      <w:bookmarkStart w:id="552" w:name="_Toc8832"/>
      <w:bookmarkStart w:id="553" w:name="_Toc9958"/>
      <w:r>
        <w:rPr>
          <w:rFonts w:hint="eastAsia" w:ascii="ＭＳ ゴシック" w:hAnsi="ＭＳ ゴシック" w:eastAsia="ＭＳ ゴシック"/>
          <w:color w:val="auto"/>
          <w:sz w:val="28"/>
          <w:u w:val="single" w:color="auto"/>
        </w:rPr>
        <w:t xml:space="preserve">6. </w:t>
      </w:r>
      <w:r>
        <w:rPr>
          <w:rFonts w:hint="eastAsia" w:ascii="ＭＳ ゴシック" w:hAnsi="ＭＳ ゴシック" w:eastAsia="ＭＳ ゴシック"/>
          <w:color w:val="auto"/>
          <w:sz w:val="28"/>
          <w:u w:val="single" w:color="auto"/>
        </w:rPr>
        <w:t>作業工程</w:t>
      </w:r>
      <w:bookmarkEnd w:id="541"/>
      <w:bookmarkEnd w:id="542"/>
      <w:bookmarkEnd w:id="543"/>
      <w:bookmarkEnd w:id="544"/>
      <w:bookmarkEnd w:id="545"/>
      <w:bookmarkEnd w:id="546"/>
      <w:bookmarkEnd w:id="547"/>
      <w:bookmarkEnd w:id="548"/>
      <w:bookmarkEnd w:id="549"/>
      <w:bookmarkEnd w:id="550"/>
      <w:bookmarkEnd w:id="551"/>
      <w:bookmarkEnd w:id="552"/>
      <w:bookmarkEnd w:id="553"/>
    </w:p>
    <w:tbl>
      <w:tblPr>
        <w:tblStyle w:val="25"/>
        <w:tblW w:w="0" w:type="auto"/>
        <w:tblInd w:w="0" w:type="dxa"/>
        <w:tblLayout w:type="fixed"/>
        <w:tblLook w:firstRow="1" w:lastRow="0" w:firstColumn="1" w:lastColumn="0" w:noHBand="0" w:noVBand="1" w:val="04A0"/>
      </w:tblPr>
      <w:tblGrid>
        <w:gridCol w:w="3565"/>
        <w:gridCol w:w="1050"/>
        <w:gridCol w:w="1050"/>
        <w:gridCol w:w="1050"/>
        <w:gridCol w:w="1050"/>
        <w:gridCol w:w="1050"/>
        <w:gridCol w:w="929"/>
      </w:tblGrid>
      <w:tr>
        <w:trPr>
          <w:trHeight w:val="360" w:hRule="atLeast"/>
        </w:trPr>
        <w:tc>
          <w:tcPr>
            <w:tcW w:w="3565" w:type="dxa"/>
            <w:vMerge w:val="restart"/>
            <w:shd w:val="solid" w:themeColor="accent2" w:themeTint="66" w:themeShade="FF" w:fill="auto"/>
            <w:vAlign w:val="center"/>
          </w:tcPr>
          <w:p>
            <w:pPr>
              <w:pStyle w:val="0"/>
              <w:jc w:val="center"/>
              <w:rPr>
                <w:rFonts w:hint="eastAsia"/>
                <w:color w:val="auto"/>
              </w:rPr>
            </w:pPr>
            <w:r>
              <w:rPr>
                <w:rFonts w:hint="eastAsia" w:ascii="ＭＳ ゴシック" w:hAnsi="ＭＳ ゴシック" w:eastAsia="ＭＳ ゴシック"/>
                <w:color w:val="auto"/>
              </w:rPr>
              <w:t>取組事項</w:t>
            </w:r>
          </w:p>
        </w:tc>
        <w:tc>
          <w:tcPr>
            <w:tcW w:w="1050" w:type="dxa"/>
            <w:shd w:val="solid" w:themeColor="accent2" w:themeTint="66" w:themeShade="FF" w:fill="auto"/>
            <w:vAlign w:val="top"/>
          </w:tcPr>
          <w:p>
            <w:pPr>
              <w:pStyle w:val="0"/>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2021</w:t>
            </w:r>
            <w:r>
              <w:rPr>
                <w:rFonts w:hint="eastAsia" w:ascii="ＭＳ ゴシック" w:hAnsi="ＭＳ ゴシック" w:eastAsia="ＭＳ ゴシック"/>
                <w:color w:val="auto"/>
                <w:sz w:val="18"/>
              </w:rPr>
              <w:t>年度</w:t>
            </w:r>
          </w:p>
        </w:tc>
        <w:tc>
          <w:tcPr>
            <w:tcW w:w="1050" w:type="dxa"/>
            <w:shd w:val="solid" w:themeColor="accent2" w:themeTint="66" w:themeShade="FF" w:fill="auto"/>
            <w:vAlign w:val="top"/>
          </w:tcPr>
          <w:p>
            <w:pPr>
              <w:pStyle w:val="0"/>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2022</w:t>
            </w:r>
            <w:r>
              <w:rPr>
                <w:rFonts w:hint="eastAsia" w:ascii="ＭＳ ゴシック" w:hAnsi="ＭＳ ゴシック" w:eastAsia="ＭＳ ゴシック"/>
                <w:color w:val="auto"/>
                <w:sz w:val="18"/>
              </w:rPr>
              <w:t>年度</w:t>
            </w:r>
          </w:p>
        </w:tc>
        <w:tc>
          <w:tcPr>
            <w:tcW w:w="1050" w:type="dxa"/>
            <w:shd w:val="solid" w:themeColor="accent2" w:themeTint="66" w:themeShade="FF" w:fill="auto"/>
            <w:vAlign w:val="top"/>
          </w:tcPr>
          <w:p>
            <w:pPr>
              <w:pStyle w:val="0"/>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2023</w:t>
            </w:r>
            <w:r>
              <w:rPr>
                <w:rFonts w:hint="eastAsia" w:ascii="ＭＳ ゴシック" w:hAnsi="ＭＳ ゴシック" w:eastAsia="ＭＳ ゴシック"/>
                <w:color w:val="auto"/>
                <w:sz w:val="18"/>
              </w:rPr>
              <w:t>年度</w:t>
            </w:r>
          </w:p>
        </w:tc>
        <w:tc>
          <w:tcPr>
            <w:tcW w:w="1050" w:type="dxa"/>
            <w:shd w:val="solid" w:themeColor="accent2" w:themeTint="66" w:themeShade="FF" w:fill="auto"/>
            <w:vAlign w:val="top"/>
          </w:tcPr>
          <w:p>
            <w:pPr>
              <w:pStyle w:val="0"/>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2024</w:t>
            </w:r>
            <w:r>
              <w:rPr>
                <w:rFonts w:hint="eastAsia" w:ascii="ＭＳ ゴシック" w:hAnsi="ＭＳ ゴシック" w:eastAsia="ＭＳ ゴシック"/>
                <w:color w:val="auto"/>
                <w:sz w:val="18"/>
              </w:rPr>
              <w:t>年度</w:t>
            </w:r>
          </w:p>
        </w:tc>
        <w:tc>
          <w:tcPr>
            <w:tcW w:w="1050" w:type="dxa"/>
            <w:shd w:val="solid" w:themeColor="accent2" w:themeTint="66" w:themeShade="FF" w:fill="auto"/>
            <w:vAlign w:val="top"/>
          </w:tcPr>
          <w:p>
            <w:pPr>
              <w:pStyle w:val="0"/>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2025</w:t>
            </w:r>
            <w:r>
              <w:rPr>
                <w:rFonts w:hint="eastAsia" w:ascii="ＭＳ ゴシック" w:hAnsi="ＭＳ ゴシック" w:eastAsia="ＭＳ ゴシック"/>
                <w:color w:val="auto"/>
                <w:sz w:val="18"/>
              </w:rPr>
              <w:t>年度</w:t>
            </w:r>
          </w:p>
        </w:tc>
        <w:tc>
          <w:tcPr>
            <w:tcW w:w="929" w:type="dxa"/>
            <w:vMerge w:val="restart"/>
            <w:shd w:val="solid" w:themeColor="accent2" w:themeTint="66" w:themeShade="FF" w:fill="auto"/>
            <w:vAlign w:val="top"/>
          </w:tcPr>
          <w:p>
            <w:pPr>
              <w:pStyle w:val="0"/>
              <w:jc w:val="center"/>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目標</w:t>
            </w:r>
          </w:p>
          <w:p>
            <w:pPr>
              <w:pStyle w:val="0"/>
              <w:jc w:val="center"/>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21"/>
              </w:rPr>
              <w:t>時期</w:t>
            </w:r>
          </w:p>
        </w:tc>
      </w:tr>
      <w:tr>
        <w:trPr/>
        <w:tc>
          <w:tcPr>
            <w:tcW w:w="3565" w:type="dxa"/>
            <w:vMerge w:val="continue"/>
            <w:shd w:val="solid" w:themeColor="accent2" w:themeTint="66" w:themeShade="FF" w:fill="auto"/>
            <w:vAlign w:val="center"/>
          </w:tcPr>
          <w:p>
            <w:pPr>
              <w:pStyle w:val="0"/>
              <w:rPr>
                <w:rFonts w:hint="eastAsia"/>
              </w:rPr>
            </w:pPr>
          </w:p>
        </w:tc>
        <w:tc>
          <w:tcPr>
            <w:tcW w:w="1050" w:type="dxa"/>
            <w:shd w:val="solid" w:themeColor="accent2" w:themeTint="66" w:themeShade="FF" w:fill="auto"/>
            <w:vAlign w:val="top"/>
          </w:tcPr>
          <w:p>
            <w:pPr>
              <w:pStyle w:val="0"/>
              <w:jc w:val="center"/>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R3</w:t>
            </w:r>
          </w:p>
        </w:tc>
        <w:tc>
          <w:tcPr>
            <w:tcW w:w="1050" w:type="dxa"/>
            <w:shd w:val="solid" w:themeColor="accent2" w:themeTint="66" w:themeShade="FF" w:fill="auto"/>
            <w:vAlign w:val="top"/>
          </w:tcPr>
          <w:p>
            <w:pPr>
              <w:pStyle w:val="0"/>
              <w:jc w:val="center"/>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R4</w:t>
            </w:r>
          </w:p>
        </w:tc>
        <w:tc>
          <w:tcPr>
            <w:tcW w:w="1050" w:type="dxa"/>
            <w:shd w:val="solid" w:themeColor="accent2" w:themeTint="66" w:themeShade="FF" w:fill="auto"/>
            <w:vAlign w:val="top"/>
          </w:tcPr>
          <w:p>
            <w:pPr>
              <w:pStyle w:val="0"/>
              <w:jc w:val="center"/>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R5</w:t>
            </w:r>
          </w:p>
        </w:tc>
        <w:tc>
          <w:tcPr>
            <w:tcW w:w="1050" w:type="dxa"/>
            <w:shd w:val="solid" w:themeColor="accent2" w:themeTint="66" w:themeShade="FF" w:fill="auto"/>
            <w:vAlign w:val="top"/>
          </w:tcPr>
          <w:p>
            <w:pPr>
              <w:pStyle w:val="0"/>
              <w:jc w:val="center"/>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R6</w:t>
            </w:r>
          </w:p>
        </w:tc>
        <w:tc>
          <w:tcPr>
            <w:tcW w:w="1050" w:type="dxa"/>
            <w:shd w:val="solid" w:themeColor="accent2" w:themeTint="66" w:themeShade="FF" w:fill="auto"/>
            <w:vAlign w:val="top"/>
          </w:tcPr>
          <w:p>
            <w:pPr>
              <w:pStyle w:val="0"/>
              <w:jc w:val="center"/>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R7</w:t>
            </w:r>
          </w:p>
        </w:tc>
        <w:tc>
          <w:tcPr>
            <w:tcW w:w="929" w:type="dxa"/>
            <w:vMerge w:val="continue"/>
            <w:shd w:val="solid" w:themeColor="accent2" w:themeTint="66" w:themeShade="FF" w:fill="auto"/>
            <w:vAlign w:val="top"/>
          </w:tcPr>
          <w:p>
            <w:pPr>
              <w:pStyle w:val="0"/>
              <w:rPr>
                <w:rFonts w:hint="eastAsia"/>
              </w:rPr>
            </w:pPr>
          </w:p>
        </w:tc>
      </w:tr>
      <w:tr>
        <w:trPr/>
        <w:tc>
          <w:tcPr>
            <w:tcW w:w="9744"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solid" w:themeColor="accent5" w:themeTint="33" w:themeShade="FF" w:fill="auto"/>
            <w:vAlign w:val="top"/>
          </w:tcPr>
          <w:p>
            <w:pPr>
              <w:pStyle w:val="0"/>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）「自治体</w:t>
            </w:r>
            <w:r>
              <w:rPr>
                <w:rFonts w:hint="eastAsia" w:ascii="ＭＳ ゴシック" w:hAnsi="ＭＳ ゴシック" w:eastAsia="ＭＳ ゴシック"/>
                <w:color w:val="auto"/>
              </w:rPr>
              <w:t>DX</w:t>
            </w:r>
            <w:r>
              <w:rPr>
                <w:rFonts w:hint="eastAsia" w:ascii="ＭＳ ゴシック" w:hAnsi="ＭＳ ゴシック" w:eastAsia="ＭＳ ゴシック"/>
                <w:color w:val="auto"/>
              </w:rPr>
              <w:t>推進計画」における取組事項：</w:t>
            </w:r>
            <w:r>
              <w:rPr>
                <w:rFonts w:hint="eastAsia" w:ascii="ＭＳ ゴシック" w:hAnsi="ＭＳ ゴシック" w:eastAsia="ＭＳ ゴシック"/>
                <w:color w:val="auto"/>
              </w:rPr>
              <w:t>11</w:t>
            </w:r>
            <w:r>
              <w:rPr>
                <w:rFonts w:hint="eastAsia" w:ascii="ＭＳ ゴシック" w:hAnsi="ＭＳ ゴシック" w:eastAsia="ＭＳ ゴシック"/>
                <w:color w:val="auto"/>
              </w:rPr>
              <w:t>項目</w:t>
            </w:r>
          </w:p>
        </w:tc>
      </w:tr>
      <w:tr>
        <w:trPr/>
        <w:tc>
          <w:tcPr>
            <w:tcW w:w="9744"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【重点取組事項】</w:t>
            </w:r>
          </w:p>
        </w:tc>
      </w:tr>
      <w:tr>
        <w:trPr/>
        <w:tc>
          <w:tcPr>
            <w:tcW w:w="3565"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自治体の情報システムの標準化・共通化</w:t>
            </w:r>
          </w:p>
        </w:tc>
        <w:tc>
          <w:tcPr>
            <w:tcW w:w="1050" w:type="dxa"/>
            <w:vAlign w:val="top"/>
          </w:tcPr>
          <w:p>
            <w:pPr>
              <w:pStyle w:val="0"/>
              <w:rPr>
                <w:rFonts w:hint="eastAsia" w:ascii="ＭＳ ゴシック" w:hAnsi="ＭＳ ゴシック" w:eastAsia="ＭＳ ゴシック"/>
                <w:color w:val="auto"/>
              </w:rPr>
            </w:pPr>
            <w:r>
              <w:rPr>
                <w:rFonts w:hint="eastAsia"/>
                <w:color w:val="auto"/>
              </w:rPr>
              <mc:AlternateContent>
                <mc:Choice Requires="wps">
                  <w:drawing>
                    <wp:anchor simplePos="0" relativeHeight="19" behindDoc="0" locked="0" layoutInCell="1" hidden="0" allowOverlap="1">
                      <wp:simplePos x="0" y="0"/>
                      <wp:positionH relativeFrom="page">
                        <wp:posOffset>3040380</wp:posOffset>
                      </wp:positionH>
                      <wp:positionV relativeFrom="page">
                        <wp:posOffset>419100</wp:posOffset>
                      </wp:positionV>
                      <wp:extent cx="581025" cy="66675"/>
                      <wp:effectExtent l="0" t="0" r="635" b="635"/>
                      <wp:wrapNone/>
                      <wp:docPr id="1049" name="テキスト 111"/>
                      <a:graphic xmlns:a="http://schemas.openxmlformats.org/drawingml/2006/main">
                        <a:graphicData uri="http://schemas.microsoft.com/office/word/2010/wordprocessingShape">
                          <wps:wsp>
                            <wps:cNvPr id="1049" name="テキスト 111"/>
                            <wps:cNvSpPr txBox="1"/>
                            <wps:spPr>
                              <a:xfrm>
                                <a:off x="0" y="0"/>
                                <a:ext cx="581025" cy="6667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default"/>
                                    </w:rPr>
                                  </w:pPr>
                                  <w:r>
                                    <w:rPr>
                                      <w:rFonts w:hint="default"/>
                                      <w:sz w:val="18"/>
                                    </w:rPr>
                                    <w:t>移行</w:t>
                                  </w:r>
                                  <w:r>
                                    <w:rPr>
                                      <w:rFonts w:hint="default"/>
                                      <w:sz w:val="18"/>
                                    </w:rPr>
                                    <w:t>●</w:t>
                                  </w:r>
                                </w:p>
                              </w:txbxContent>
                            </wps:txbx>
                            <wps:bodyPr vertOverflow="overflow" horzOverflow="overflow" anchor="ctr" anchorCtr="0"/>
                          </wps:wsp>
                        </a:graphicData>
                      </a:graphic>
                    </wp:anchor>
                  </w:drawing>
                </mc:Choice>
                <mc:Fallback>
                  <w:pict>
                    <v:shapetype id="_x0000_t202" coordsize="21600,21600" o:spt="202" path="m,l,21600r21600,l21600,xe">
                      <v:stroke joinstyle="miter"/>
                      <v:path gradientshapeok="t" o:connecttype="rect"/>
                    </v:shapetype>
                    <v:shape id="テキスト 111" style="margin-top:33pt;mso-position-vertical-relative:page;mso-position-horizontal-relative:page;v-text-anchor:middle;position:absolute;height:5.25pt;width:45.75pt;margin-left:239.4pt;z-index:19;" o:spid="_x0000_s1049" o:allowincell="t" o:allowoverlap="t" filled="f" stroked="f" strokeweight="0.75pt" o:spt="202" type="#_x0000_t202">
                      <v:fill/>
                      <v:stroke linestyle="single"/>
                      <v:textbox style="layout-flow:horizontal;">
                        <w:txbxContent>
                          <w:p>
                            <w:pPr>
                              <w:pStyle w:val="0"/>
                              <w:snapToGrid w:val="0"/>
                              <w:rPr>
                                <w:rFonts w:hint="default"/>
                              </w:rPr>
                            </w:pPr>
                            <w:r>
                              <w:rPr>
                                <w:rFonts w:hint="default"/>
                                <w:sz w:val="18"/>
                              </w:rPr>
                              <w:t>移行</w:t>
                            </w:r>
                            <w:r>
                              <w:rPr>
                                <w:rFonts w:hint="default"/>
                                <w:sz w:val="18"/>
                              </w:rPr>
                              <w:t>●</w:t>
                            </w:r>
                          </w:p>
                        </w:txbxContent>
                      </v:textbox>
                      <v:imagedata o:title=""/>
                      <w10:wrap type="none" anchorx="page" anchory="page"/>
                    </v:shape>
                  </w:pict>
                </mc:Fallback>
              </mc:AlternateContent>
            </w:r>
            <w:r>
              <w:rPr>
                <w:rFonts w:hint="eastAsia"/>
                <w:color w:val="auto"/>
              </w:rPr>
              <mc:AlternateContent>
                <mc:Choice Requires="wps">
                  <w:drawing>
                    <wp:anchor simplePos="0" relativeHeight="20" behindDoc="0" locked="0" layoutInCell="1" hidden="0" allowOverlap="1">
                      <wp:simplePos x="0" y="0"/>
                      <wp:positionH relativeFrom="page">
                        <wp:posOffset>1173480</wp:posOffset>
                      </wp:positionH>
                      <wp:positionV relativeFrom="page">
                        <wp:posOffset>47625</wp:posOffset>
                      </wp:positionV>
                      <wp:extent cx="1314450" cy="66675"/>
                      <wp:effectExtent l="0" t="0" r="635" b="635"/>
                      <wp:wrapNone/>
                      <wp:docPr id="1050" name="テキスト 113"/>
                      <a:graphic xmlns:a="http://schemas.openxmlformats.org/drawingml/2006/main">
                        <a:graphicData uri="http://schemas.microsoft.com/office/word/2010/wordprocessingShape">
                          <wps:wsp>
                            <wps:cNvPr id="1050" name="テキスト 113"/>
                            <wps:cNvSpPr txBox="1"/>
                            <wps:spPr>
                              <a:xfrm>
                                <a:off x="0" y="0"/>
                                <a:ext cx="1314450" cy="6667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default"/>
                                    </w:rPr>
                                  </w:pPr>
                                  <w:r>
                                    <w:rPr>
                                      <w:rFonts w:hint="default"/>
                                      <w:sz w:val="18"/>
                                    </w:rPr>
                                    <w:t>仕様確認・庁内調整</w:t>
                                  </w:r>
                                </w:p>
                              </w:txbxContent>
                            </wps:txbx>
                            <wps:bodyPr vertOverflow="overflow" horzOverflow="overflow" anchor="ctr" anchorCtr="0"/>
                          </wps:wsp>
                        </a:graphicData>
                      </a:graphic>
                    </wp:anchor>
                  </w:drawing>
                </mc:Choice>
                <mc:Fallback>
                  <w:pict>
                    <v:shapetype id="_x0000_t202" coordsize="21600,21600" o:spt="202" path="m,l,21600r21600,l21600,xe">
                      <v:stroke joinstyle="miter"/>
                      <v:path gradientshapeok="t" o:connecttype="rect"/>
                    </v:shapetype>
                    <v:shape id="テキスト 113" style="margin-top:3.75pt;mso-position-vertical-relative:page;mso-position-horizontal-relative:page;v-text-anchor:middle;position:absolute;height:5.25pt;width:103.5pt;margin-left:92.4pt;z-index:20;" o:spid="_x0000_s1050" o:allowincell="t" o:allowoverlap="t" filled="f" stroked="f" strokeweight="0.75pt" o:spt="202" type="#_x0000_t202">
                      <v:fill/>
                      <v:stroke linestyle="single"/>
                      <v:textbox style="layout-flow:horizontal;">
                        <w:txbxContent>
                          <w:p>
                            <w:pPr>
                              <w:pStyle w:val="0"/>
                              <w:snapToGrid w:val="0"/>
                              <w:rPr>
                                <w:rFonts w:hint="default"/>
                              </w:rPr>
                            </w:pPr>
                            <w:r>
                              <w:rPr>
                                <w:rFonts w:hint="default"/>
                                <w:sz w:val="18"/>
                              </w:rPr>
                              <w:t>仕様確認・庁内調整</w:t>
                            </w:r>
                          </w:p>
                        </w:txbxContent>
                      </v:textbox>
                      <v:imagedata o:title=""/>
                      <w10:wrap type="none" anchorx="page" anchory="page"/>
                    </v:shape>
                  </w:pict>
                </mc:Fallback>
              </mc:AlternateContent>
            </w:r>
          </w:p>
        </w:tc>
        <w:tc>
          <w:tcPr>
            <w:tcW w:w="1050" w:type="dxa"/>
            <w:vAlign w:val="top"/>
          </w:tcPr>
          <w:p>
            <w:pPr>
              <w:pStyle w:val="0"/>
              <w:rPr>
                <w:rFonts w:hint="eastAsia" w:ascii="ＭＳ ゴシック" w:hAnsi="ＭＳ ゴシック" w:eastAsia="ＭＳ ゴシック"/>
                <w:color w:val="auto"/>
              </w:rPr>
            </w:pPr>
            <w:r>
              <w:rPr>
                <w:rFonts w:hint="eastAsia"/>
                <w:color w:val="auto"/>
              </w:rPr>
              <mc:AlternateContent>
                <mc:Choice Requires="wpg">
                  <w:drawing>
                    <wp:anchor simplePos="0" relativeHeight="21" behindDoc="0" locked="0" layoutInCell="1" hidden="0" allowOverlap="1">
                      <wp:simplePos x="0" y="0"/>
                      <wp:positionH relativeFrom="column">
                        <wp:posOffset>-15875</wp:posOffset>
                      </wp:positionH>
                      <wp:positionV relativeFrom="paragraph">
                        <wp:posOffset>74930</wp:posOffset>
                      </wp:positionV>
                      <wp:extent cx="1892935" cy="295275"/>
                      <wp:effectExtent l="635" t="635" r="29845" b="10795"/>
                      <wp:wrapNone/>
                      <wp:docPr id="1051" name="オブジェクト 0"/>
                      <a:graphic xmlns:a="http://schemas.openxmlformats.org/drawingml/2006/main">
                        <a:graphicData uri="http://schemas.microsoft.com/office/word/2010/wordprocessingGroup">
                          <wpg:wgp>
                            <wpg:cNvGrpSpPr/>
                            <wpg:grpSpPr>
                              <a:xfrm>
                                <a:off x="0" y="0"/>
                                <a:ext cx="1892935" cy="295275"/>
                                <a:chOff x="5783" y="10575"/>
                                <a:chExt cx="4087" cy="463"/>
                              </a:xfrm>
                            </wpg:grpSpPr>
                            <wps:wsp>
                              <wps:cNvPr id="1052"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53"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仕様確認、様式・条例等整理</w:t>
                                    </w:r>
                                  </w:p>
                                </w:txbxContent>
                              </wps:txbx>
                              <wps:bodyPr vertOverflow="overflow" horzOverflow="overflow" wrap="square" lIns="74295" tIns="8890" rIns="74295" bIns="8890"/>
                            </wps:wsp>
                          </wpg:wgp>
                        </a:graphicData>
                      </a:graphic>
                    </wp:anchor>
                  </w:drawing>
                </mc:Choice>
                <mc:Fallback>
                  <w:pict>
                    <v:group id="オブジェクト 0" style="margin-top:5.9pt;mso-position-vertical-relative:text;mso-position-horizontal-relative:text;position:absolute;height:23.25pt;width:149.05000000000001pt;margin-left:-1.25pt;z-index:21;" coordsize="4087,463" coordorigin="5783,10575" o:spid="_x0000_s1051"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52"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53"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仕様確認、様式・条例等整理</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r>
              <w:rPr>
                <w:rFonts w:hint="eastAsia"/>
                <w:color w:val="auto"/>
              </w:rPr>
              <mc:AlternateContent>
                <mc:Choice Requires="wpg">
                  <w:drawing>
                    <wp:anchor simplePos="0" relativeHeight="24" behindDoc="0" locked="0" layoutInCell="1" hidden="0" allowOverlap="1">
                      <wp:simplePos x="0" y="0"/>
                      <wp:positionH relativeFrom="column">
                        <wp:posOffset>-29210</wp:posOffset>
                      </wp:positionH>
                      <wp:positionV relativeFrom="paragraph">
                        <wp:posOffset>74930</wp:posOffset>
                      </wp:positionV>
                      <wp:extent cx="594995" cy="295275"/>
                      <wp:effectExtent l="635" t="635" r="29845" b="10795"/>
                      <wp:wrapNone/>
                      <wp:docPr id="1054" name="オブジェクト 0"/>
                      <a:graphic xmlns:a="http://schemas.openxmlformats.org/drawingml/2006/main">
                        <a:graphicData uri="http://schemas.microsoft.com/office/word/2010/wordprocessingGroup">
                          <wpg:wgp>
                            <wpg:cNvGrpSpPr/>
                            <wpg:grpSpPr>
                              <a:xfrm>
                                <a:off x="0" y="0"/>
                                <a:ext cx="594995" cy="295275"/>
                                <a:chOff x="5783" y="10575"/>
                                <a:chExt cx="4087" cy="463"/>
                              </a:xfrm>
                            </wpg:grpSpPr>
                            <wps:wsp>
                              <wps:cNvPr id="1055"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56" name="オブジェクト 0"/>
                              <wps:cNvSpPr txBox="1"/>
                              <wps:spPr>
                                <a:xfrm>
                                  <a:off x="5867" y="10608"/>
                                  <a:ext cx="3677"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移行</w:t>
                                    </w:r>
                                  </w:p>
                                </w:txbxContent>
                              </wps:txbx>
                              <wps:bodyPr vertOverflow="overflow" horzOverflow="overflow" wrap="square" lIns="74295" tIns="8890" rIns="74295" bIns="8890"/>
                            </wps:wsp>
                          </wpg:wgp>
                        </a:graphicData>
                      </a:graphic>
                    </wp:anchor>
                  </w:drawing>
                </mc:Choice>
                <mc:Fallback>
                  <w:pict>
                    <v:group id="オブジェクト 0" style="margin-top:5.9pt;mso-position-vertical-relative:text;mso-position-horizontal-relative:text;position:absolute;height:23.25pt;width:46.85pt;margin-left:-2.29pt;z-index:24;" coordsize="4087,463" coordorigin="5783,10575" o:spid="_x0000_s1054"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55"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7;top:10608;left:5867;position:absolute;" o:spid="_x0000_s1056"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移行</w:t>
                              </w:r>
                            </w:p>
                          </w:txbxContent>
                        </v:textbox>
                        <v:imagedata o:title=""/>
                        <w10:wrap type="none" anchorx="text" anchory="text"/>
                      </v:shape>
                      <w10:wrap type="none" anchorx="text" anchory="text"/>
                    </v:group>
                  </w:pict>
                </mc:Fallback>
              </mc:AlternateContent>
            </w:r>
          </w:p>
        </w:tc>
        <w:tc>
          <w:tcPr>
            <w:tcW w:w="929"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R7</w:t>
            </w:r>
            <w:r>
              <w:rPr>
                <w:rFonts w:hint="eastAsia" w:ascii="ＭＳ ゴシック" w:hAnsi="ＭＳ ゴシック" w:eastAsia="ＭＳ ゴシック"/>
                <w:color w:val="auto"/>
              </w:rPr>
              <w:t>末</w:t>
            </w:r>
          </w:p>
        </w:tc>
      </w:tr>
      <w:tr>
        <w:trPr>
          <w:trHeight w:val="1390" w:hRule="atLeast"/>
        </w:trPr>
        <w:tc>
          <w:tcPr>
            <w:tcW w:w="3565"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マイナンバーカードの普及促進・利活用</w:t>
            </w: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r>
              <w:rPr>
                <w:rFonts w:hint="eastAsia"/>
                <w:color w:val="auto"/>
              </w:rPr>
              <mc:AlternateContent>
                <mc:Choice Requires="wpg">
                  <w:drawing>
                    <wp:anchor simplePos="0" relativeHeight="30" behindDoc="0" locked="0" layoutInCell="1" hidden="0" allowOverlap="1">
                      <wp:simplePos x="0" y="0"/>
                      <wp:positionH relativeFrom="column">
                        <wp:posOffset>-2026285</wp:posOffset>
                      </wp:positionH>
                      <wp:positionV relativeFrom="paragraph">
                        <wp:posOffset>481965</wp:posOffset>
                      </wp:positionV>
                      <wp:extent cx="3284855" cy="295275"/>
                      <wp:effectExtent l="635" t="635" r="29845" b="10795"/>
                      <wp:wrapNone/>
                      <wp:docPr id="1057" name="オブジェクト 0"/>
                      <a:graphic xmlns:a="http://schemas.openxmlformats.org/drawingml/2006/main">
                        <a:graphicData uri="http://schemas.microsoft.com/office/word/2010/wordprocessingGroup">
                          <wpg:wgp>
                            <wpg:cNvGrpSpPr/>
                            <wpg:grpSpPr>
                              <a:xfrm>
                                <a:off x="0" y="0"/>
                                <a:ext cx="3284855" cy="295275"/>
                                <a:chOff x="5783" y="10575"/>
                                <a:chExt cx="4087" cy="463"/>
                              </a:xfrm>
                            </wpg:grpSpPr>
                            <wps:wsp>
                              <wps:cNvPr id="1058"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59"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カード利活用検討・導入</w:t>
                                    </w:r>
                                  </w:p>
                                </w:txbxContent>
                              </wps:txbx>
                              <wps:bodyPr vertOverflow="overflow" horzOverflow="overflow" wrap="square" lIns="74295" tIns="8890" rIns="74295" bIns="8890"/>
                            </wps:wsp>
                          </wpg:wgp>
                        </a:graphicData>
                      </a:graphic>
                    </wp:anchor>
                  </w:drawing>
                </mc:Choice>
                <mc:Fallback>
                  <w:pict>
                    <v:group id="オブジェクト 0" style="margin-top:37.950000000000003pt;mso-position-vertical-relative:text;mso-position-horizontal-relative:text;position:absolute;height:23.25pt;width:258.64pt;margin-left:-159.55000000000001pt;z-index:30;" coordsize="4087,463" coordorigin="5783,10575" o:spid="_x0000_s1057"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58"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59"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カード利活用検討・導入</w:t>
                              </w:r>
                            </w:p>
                          </w:txbxContent>
                        </v:textbox>
                        <v:imagedata o:title=""/>
                        <w10:wrap type="none" anchorx="text" anchory="text"/>
                      </v:shape>
                      <w10:wrap type="none" anchorx="text" anchory="text"/>
                    </v:group>
                  </w:pict>
                </mc:Fallback>
              </mc:AlternateContent>
            </w:r>
            <w:r>
              <w:rPr>
                <w:rFonts w:hint="eastAsia"/>
                <w:color w:val="auto"/>
              </w:rPr>
              <mc:AlternateContent>
                <mc:Choice Requires="wpg">
                  <w:drawing>
                    <wp:anchor simplePos="0" relativeHeight="27" behindDoc="0" locked="0" layoutInCell="1" hidden="0" allowOverlap="1">
                      <wp:simplePos x="0" y="0"/>
                      <wp:positionH relativeFrom="column">
                        <wp:posOffset>-2024380</wp:posOffset>
                      </wp:positionH>
                      <wp:positionV relativeFrom="paragraph">
                        <wp:posOffset>85090</wp:posOffset>
                      </wp:positionV>
                      <wp:extent cx="1238250" cy="295275"/>
                      <wp:effectExtent l="635" t="635" r="29845" b="10795"/>
                      <wp:wrapNone/>
                      <wp:docPr id="1060" name="オブジェクト 0"/>
                      <a:graphic xmlns:a="http://schemas.openxmlformats.org/drawingml/2006/main">
                        <a:graphicData uri="http://schemas.microsoft.com/office/word/2010/wordprocessingGroup">
                          <wpg:wgp>
                            <wpg:cNvGrpSpPr/>
                            <wpg:grpSpPr>
                              <a:xfrm>
                                <a:off x="0" y="0"/>
                                <a:ext cx="1238250" cy="295275"/>
                                <a:chOff x="5783" y="10575"/>
                                <a:chExt cx="4087" cy="463"/>
                              </a:xfrm>
                            </wpg:grpSpPr>
                            <wps:wsp>
                              <wps:cNvPr id="1061"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62"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カード普及促進</w:t>
                                    </w:r>
                                  </w:p>
                                </w:txbxContent>
                              </wps:txbx>
                              <wps:bodyPr vertOverflow="overflow" horzOverflow="overflow" wrap="square" lIns="74295" tIns="8890" rIns="74295" bIns="8890"/>
                            </wps:wsp>
                          </wpg:wgp>
                        </a:graphicData>
                      </a:graphic>
                    </wp:anchor>
                  </w:drawing>
                </mc:Choice>
                <mc:Fallback>
                  <w:pict>
                    <v:group id="オブジェクト 0" style="margin-top:6.7pt;mso-position-vertical-relative:text;mso-position-horizontal-relative:text;position:absolute;height:23.25pt;width:97.5pt;margin-left:-159.4pt;z-index:27;" coordsize="4087,463" coordorigin="5783,10575" o:spid="_x0000_s1060"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61"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62"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カード普及促進</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eastAsia" w:ascii="ＭＳ ゴシック" w:hAnsi="ＭＳ ゴシック" w:eastAsia="ＭＳ ゴシック"/>
                <w:color w:val="auto"/>
              </w:rPr>
            </w:pPr>
          </w:p>
        </w:tc>
        <w:tc>
          <w:tcPr>
            <w:tcW w:w="929"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R4</w:t>
            </w:r>
            <w:r>
              <w:rPr>
                <w:rFonts w:hint="eastAsia" w:ascii="ＭＳ ゴシック" w:hAnsi="ＭＳ ゴシック" w:eastAsia="ＭＳ ゴシック"/>
                <w:color w:val="auto"/>
              </w:rPr>
              <w:t>末</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rHeight w:val="1430" w:hRule="atLeast"/>
        </w:trPr>
        <w:tc>
          <w:tcPr>
            <w:tcW w:w="3565"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行政手続のオンライン化</w:t>
            </w:r>
          </w:p>
        </w:tc>
        <w:tc>
          <w:tcPr>
            <w:tcW w:w="1050" w:type="dxa"/>
            <w:vAlign w:val="top"/>
          </w:tcPr>
          <w:p>
            <w:pPr>
              <w:pStyle w:val="0"/>
              <w:rPr>
                <w:rFonts w:hint="eastAsia" w:ascii="ＭＳ ゴシック" w:hAnsi="ＭＳ ゴシック" w:eastAsia="ＭＳ ゴシック"/>
                <w:color w:val="auto"/>
              </w:rPr>
            </w:pPr>
            <w:r>
              <w:rPr>
                <w:rFonts w:hint="eastAsia"/>
                <w:color w:val="auto"/>
              </w:rPr>
              <mc:AlternateContent>
                <mc:Choice Requires="wps">
                  <w:drawing>
                    <wp:anchor distT="0" distB="0" distL="203200" distR="203200" simplePos="0" relativeHeight="33" behindDoc="0" locked="0" layoutInCell="1" hidden="0" allowOverlap="1">
                      <wp:simplePos x="0" y="0"/>
                      <wp:positionH relativeFrom="column">
                        <wp:posOffset>-19050</wp:posOffset>
                      </wp:positionH>
                      <wp:positionV relativeFrom="paragraph">
                        <wp:posOffset>89535</wp:posOffset>
                      </wp:positionV>
                      <wp:extent cx="1261745" cy="294005"/>
                      <wp:effectExtent l="635" t="635" r="29845" b="10795"/>
                      <wp:wrapNone/>
                      <wp:docPr id="1063" name="オブジェクト 0"/>
                      <a:graphic xmlns:a="http://schemas.openxmlformats.org/drawingml/2006/main">
                        <a:graphicData uri="http://schemas.microsoft.com/office/word/2010/wordprocessingShape">
                          <wps:wsp>
                            <wps:cNvPr id="1063" name="オブジェクト 0"/>
                            <wps:cNvSpPr/>
                            <wps:spPr>
                              <a:xfrm>
                                <a:off x="0" y="0"/>
                                <a:ext cx="1261745" cy="294005"/>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so-wrap-distance-right:16pt;mso-wrap-distance-bottom:0pt;margin-top:7.05pt;mso-position-vertical-relative:text;mso-position-horizontal-relative:text;position:absolute;height:23.15pt;mso-wrap-distance-top:0pt;width:99.35pt;mso-wrap-distance-left:16pt;margin-left:-1.5pt;z-index:33;" o:spid="_x0000_s1063" o:allowincell="t" o:allowoverlap="t"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w:pict>
                </mc:Fallback>
              </mc:AlternateContent>
            </w:r>
            <w:r>
              <w:rPr>
                <w:rFonts w:hint="eastAsia"/>
                <w:color w:val="auto"/>
              </w:rPr>
              <mc:AlternateContent>
                <mc:Choice Requires="wps">
                  <w:drawing>
                    <wp:anchor distT="0" distB="0" distL="203200" distR="203200" simplePos="0" relativeHeight="34" behindDoc="0" locked="0" layoutInCell="1" hidden="0" allowOverlap="1">
                      <wp:simplePos x="0" y="0"/>
                      <wp:positionH relativeFrom="column">
                        <wp:posOffset>6985</wp:posOffset>
                      </wp:positionH>
                      <wp:positionV relativeFrom="paragraph">
                        <wp:posOffset>110490</wp:posOffset>
                      </wp:positionV>
                      <wp:extent cx="1238250" cy="295275"/>
                      <wp:effectExtent l="0" t="0" r="635" b="635"/>
                      <wp:wrapNone/>
                      <wp:docPr id="1064" name="オブジェクト 0"/>
                      <a:graphic xmlns:a="http://schemas.openxmlformats.org/drawingml/2006/main">
                        <a:graphicData uri="http://schemas.microsoft.com/office/word/2010/wordprocessingShape">
                          <wps:wsp>
                            <wps:cNvPr id="1064" name="オブジェクト 0"/>
                            <wps:cNvSpPr txBox="1"/>
                            <wps:spPr>
                              <a:xfrm>
                                <a:off x="0" y="0"/>
                                <a:ext cx="1238250"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6"/>
                                    </w:rPr>
                                  </w:pPr>
                                  <w:r>
                                    <w:rPr>
                                      <w:rFonts w:hint="eastAsia" w:ascii="ＭＳ ゴシック" w:hAnsi="ＭＳ ゴシック" w:eastAsia="ＭＳ ゴシック"/>
                                      <w:sz w:val="16"/>
                                    </w:rPr>
                                    <w:t>ぴったりサービス整備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69pt;mso-position-vertical-relative:text;mso-position-horizontal-relative:text;position:absolute;height:23.25pt;mso-wrap-distance-top:0pt;width:97.5pt;mso-wrap-distance-left:16pt;margin-left:0.55000000000000004pt;z-index:34;" o:spid="_x0000_s106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6"/>
                              </w:rPr>
                            </w:pPr>
                            <w:r>
                              <w:rPr>
                                <w:rFonts w:hint="eastAsia" w:ascii="ＭＳ ゴシック" w:hAnsi="ＭＳ ゴシック" w:eastAsia="ＭＳ ゴシック"/>
                                <w:sz w:val="16"/>
                              </w:rPr>
                              <w:t>ぴったりサービス整備</w:t>
                            </w:r>
                          </w:p>
                        </w:txbxContent>
                      </v:textbox>
                      <v:imagedata o:title=""/>
                      <w10:wrap type="none" anchorx="text" anchory="text"/>
                    </v:shape>
                  </w:pict>
                </mc:Fallback>
              </mc:AlternateContent>
            </w:r>
            <w:r>
              <w:rPr>
                <w:rFonts w:hint="eastAsia"/>
                <w:color w:val="auto"/>
              </w:rPr>
              <mc:AlternateContent>
                <mc:Choice Requires="wpg">
                  <w:drawing>
                    <wp:anchor simplePos="0" relativeHeight="35" behindDoc="0" locked="0" layoutInCell="1" hidden="0" allowOverlap="1">
                      <wp:simplePos x="0" y="0"/>
                      <wp:positionH relativeFrom="column">
                        <wp:posOffset>-20955</wp:posOffset>
                      </wp:positionH>
                      <wp:positionV relativeFrom="paragraph">
                        <wp:posOffset>507365</wp:posOffset>
                      </wp:positionV>
                      <wp:extent cx="3282950" cy="295275"/>
                      <wp:effectExtent l="635" t="635" r="29845" b="10795"/>
                      <wp:wrapNone/>
                      <wp:docPr id="1065" name="オブジェクト 0"/>
                      <a:graphic xmlns:a="http://schemas.openxmlformats.org/drawingml/2006/main">
                        <a:graphicData uri="http://schemas.microsoft.com/office/word/2010/wordprocessingGroup">
                          <wpg:wgp>
                            <wpg:cNvGrpSpPr/>
                            <wpg:grpSpPr>
                              <a:xfrm>
                                <a:off x="0" y="0"/>
                                <a:ext cx="3282950" cy="295275"/>
                                <a:chOff x="5783" y="10575"/>
                                <a:chExt cx="4087" cy="463"/>
                              </a:xfrm>
                            </wpg:grpSpPr>
                            <wps:wsp>
                              <wps:cNvPr id="1066"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67"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その他の手続のオンライン化</w:t>
                                    </w:r>
                                  </w:p>
                                </w:txbxContent>
                              </wps:txbx>
                              <wps:bodyPr vertOverflow="overflow" horzOverflow="overflow" wrap="square" lIns="74295" tIns="8890" rIns="74295" bIns="8890"/>
                            </wps:wsp>
                          </wpg:wgp>
                        </a:graphicData>
                      </a:graphic>
                    </wp:anchor>
                  </w:drawing>
                </mc:Choice>
                <mc:Fallback>
                  <w:pict>
                    <v:group id="オブジェクト 0" style="margin-top:39.950000000000003pt;mso-position-vertical-relative:text;mso-position-horizontal-relative:text;position:absolute;height:23.25pt;width:258.5pt;margin-left:-1.65pt;z-index:35;" coordsize="4087,463" coordorigin="5783,10575" o:spid="_x0000_s1065"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66"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67"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その他の手続のオンライン化</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929"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R4</w:t>
            </w:r>
            <w:r>
              <w:rPr>
                <w:rFonts w:hint="eastAsia" w:ascii="ＭＳ ゴシック" w:hAnsi="ＭＳ ゴシック" w:eastAsia="ＭＳ ゴシック"/>
                <w:color w:val="auto"/>
              </w:rPr>
              <w:t>末</w:t>
            </w:r>
          </w:p>
        </w:tc>
      </w:tr>
      <w:tr>
        <w:trPr>
          <w:trHeight w:val="710" w:hRule="atLeast"/>
        </w:trPr>
        <w:tc>
          <w:tcPr>
            <w:tcW w:w="3565"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AI</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RPA</w:t>
            </w:r>
            <w:r>
              <w:rPr>
                <w:rFonts w:hint="eastAsia" w:ascii="ＭＳ ゴシック" w:hAnsi="ＭＳ ゴシック" w:eastAsia="ＭＳ ゴシック"/>
                <w:color w:val="auto"/>
              </w:rPr>
              <w:t>の利用推進</w:t>
            </w:r>
          </w:p>
        </w:tc>
        <w:tc>
          <w:tcPr>
            <w:tcW w:w="1050" w:type="dxa"/>
            <w:vAlign w:val="top"/>
          </w:tcPr>
          <w:p>
            <w:pPr>
              <w:pStyle w:val="0"/>
              <w:rPr>
                <w:rFonts w:hint="eastAsia" w:ascii="ＭＳ ゴシック" w:hAnsi="ＭＳ ゴシック" w:eastAsia="ＭＳ ゴシック"/>
                <w:color w:val="auto"/>
              </w:rPr>
            </w:pPr>
            <w:r>
              <w:rPr>
                <w:rFonts w:hint="eastAsia"/>
                <w:color w:val="auto"/>
              </w:rPr>
              <mc:AlternateContent>
                <mc:Choice Requires="wpg">
                  <w:drawing>
                    <wp:anchor simplePos="0" relativeHeight="38" behindDoc="0" locked="0" layoutInCell="1" hidden="0" allowOverlap="1">
                      <wp:simplePos x="0" y="0"/>
                      <wp:positionH relativeFrom="column">
                        <wp:posOffset>-20955</wp:posOffset>
                      </wp:positionH>
                      <wp:positionV relativeFrom="paragraph">
                        <wp:posOffset>89535</wp:posOffset>
                      </wp:positionV>
                      <wp:extent cx="3282950" cy="295275"/>
                      <wp:effectExtent l="635" t="635" r="29845" b="10795"/>
                      <wp:wrapNone/>
                      <wp:docPr id="1068" name="オブジェクト 0"/>
                      <a:graphic xmlns:a="http://schemas.openxmlformats.org/drawingml/2006/main">
                        <a:graphicData uri="http://schemas.microsoft.com/office/word/2010/wordprocessingGroup">
                          <wpg:wgp>
                            <wpg:cNvGrpSpPr/>
                            <wpg:grpSpPr>
                              <a:xfrm>
                                <a:off x="0" y="0"/>
                                <a:ext cx="3282950" cy="295275"/>
                                <a:chOff x="5783" y="10575"/>
                                <a:chExt cx="4087" cy="463"/>
                              </a:xfrm>
                            </wpg:grpSpPr>
                            <wps:wsp>
                              <wps:cNvPr id="1069"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70"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業務の</w:t>
                                    </w:r>
                                    <w:r>
                                      <w:rPr>
                                        <w:rFonts w:hint="eastAsia" w:ascii="ＭＳ ゴシック" w:hAnsi="ＭＳ ゴシック" w:eastAsia="ＭＳ ゴシック"/>
                                        <w:sz w:val="18"/>
                                      </w:rPr>
                                      <w:t>RPA</w:t>
                                    </w:r>
                                    <w:r>
                                      <w:rPr>
                                        <w:rFonts w:hint="eastAsia" w:ascii="ＭＳ ゴシック" w:hAnsi="ＭＳ ゴシック" w:eastAsia="ＭＳ ゴシック"/>
                                        <w:sz w:val="18"/>
                                      </w:rPr>
                                      <w:t>化</w:t>
                                    </w:r>
                                  </w:p>
                                </w:txbxContent>
                              </wps:txbx>
                              <wps:bodyPr vertOverflow="overflow" horzOverflow="overflow" wrap="square" lIns="74295" tIns="8890" rIns="74295" bIns="8890"/>
                            </wps:wsp>
                          </wpg:wgp>
                        </a:graphicData>
                      </a:graphic>
                    </wp:anchor>
                  </w:drawing>
                </mc:Choice>
                <mc:Fallback>
                  <w:pict>
                    <v:group id="オブジェクト 0" style="margin-top:7.05pt;mso-position-vertical-relative:text;mso-position-horizontal-relative:text;position:absolute;height:23.25pt;width:258.5pt;margin-left:-1.65pt;z-index:38;" coordsize="4087,463" coordorigin="5783,10575" o:spid="_x0000_s1068"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69"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70"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業務の</w:t>
                              </w:r>
                              <w:r>
                                <w:rPr>
                                  <w:rFonts w:hint="eastAsia" w:ascii="ＭＳ ゴシック" w:hAnsi="ＭＳ ゴシック" w:eastAsia="ＭＳ ゴシック"/>
                                  <w:sz w:val="18"/>
                                </w:rPr>
                                <w:t>RPA</w:t>
                              </w:r>
                              <w:r>
                                <w:rPr>
                                  <w:rFonts w:hint="eastAsia" w:ascii="ＭＳ ゴシック" w:hAnsi="ＭＳ ゴシック" w:eastAsia="ＭＳ ゴシック"/>
                                  <w:sz w:val="18"/>
                                </w:rPr>
                                <w:t>化</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929" w:type="dxa"/>
            <w:vAlign w:val="top"/>
          </w:tcPr>
          <w:p>
            <w:pPr>
              <w:pStyle w:val="0"/>
              <w:rPr>
                <w:rFonts w:hint="eastAsia" w:ascii="ＭＳ ゴシック" w:hAnsi="ＭＳ ゴシック" w:eastAsia="ＭＳ ゴシック"/>
                <w:color w:val="auto"/>
              </w:rPr>
            </w:pPr>
          </w:p>
        </w:tc>
      </w:tr>
      <w:tr>
        <w:trPr>
          <w:trHeight w:val="710" w:hRule="atLeast"/>
        </w:trPr>
        <w:tc>
          <w:tcPr>
            <w:tcW w:w="3565"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テレワークの推進</w:t>
            </w:r>
          </w:p>
        </w:tc>
        <w:tc>
          <w:tcPr>
            <w:tcW w:w="1050" w:type="dxa"/>
            <w:vAlign w:val="top"/>
          </w:tcPr>
          <w:p>
            <w:pPr>
              <w:pStyle w:val="0"/>
              <w:rPr>
                <w:rFonts w:hint="eastAsia" w:ascii="ＭＳ ゴシック" w:hAnsi="ＭＳ ゴシック" w:eastAsia="ＭＳ ゴシック"/>
                <w:color w:val="auto"/>
              </w:rPr>
            </w:pPr>
            <w:r>
              <w:rPr>
                <w:rFonts w:hint="eastAsia"/>
                <w:color w:val="auto"/>
              </w:rPr>
              <mc:AlternateContent>
                <mc:Choice Requires="wpg">
                  <w:drawing>
                    <wp:anchor simplePos="0" relativeHeight="41" behindDoc="0" locked="0" layoutInCell="1" hidden="0" allowOverlap="1">
                      <wp:simplePos x="0" y="0"/>
                      <wp:positionH relativeFrom="column">
                        <wp:posOffset>-20955</wp:posOffset>
                      </wp:positionH>
                      <wp:positionV relativeFrom="paragraph">
                        <wp:posOffset>68580</wp:posOffset>
                      </wp:positionV>
                      <wp:extent cx="593725" cy="295275"/>
                      <wp:effectExtent l="635" t="635" r="29845" b="10795"/>
                      <wp:wrapNone/>
                      <wp:docPr id="1071" name="オブジェクト 0"/>
                      <a:graphic xmlns:a="http://schemas.openxmlformats.org/drawingml/2006/main">
                        <a:graphicData uri="http://schemas.microsoft.com/office/word/2010/wordprocessingGroup">
                          <wpg:wgp>
                            <wpg:cNvGrpSpPr/>
                            <wpg:grpSpPr>
                              <a:xfrm>
                                <a:off x="0" y="0"/>
                                <a:ext cx="593725" cy="295275"/>
                                <a:chOff x="5783" y="10575"/>
                                <a:chExt cx="4087" cy="463"/>
                              </a:xfrm>
                            </wpg:grpSpPr>
                            <wps:wsp>
                              <wps:cNvPr id="1072"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73" name="オブジェクト 0"/>
                              <wps:cNvSpPr txBox="1"/>
                              <wps:spPr>
                                <a:xfrm>
                                  <a:off x="5867" y="10608"/>
                                  <a:ext cx="3676"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実証</w:t>
                                    </w:r>
                                  </w:p>
                                </w:txbxContent>
                              </wps:txbx>
                              <wps:bodyPr vertOverflow="overflow" horzOverflow="overflow" wrap="square" lIns="74295" tIns="8890" rIns="74295" bIns="8890"/>
                            </wps:wsp>
                          </wpg:wgp>
                        </a:graphicData>
                      </a:graphic>
                    </wp:anchor>
                  </w:drawing>
                </mc:Choice>
                <mc:Fallback>
                  <w:pict>
                    <v:group id="オブジェクト 0" style="margin-top:5.4pt;mso-position-vertical-relative:text;mso-position-horizontal-relative:text;position:absolute;height:23.25pt;width:46.75pt;margin-left:-1.65pt;z-index:41;" coordsize="4087,463" coordorigin="5783,10575" o:spid="_x0000_s1071"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72"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6;top:10608;left:5867;position:absolute;" o:spid="_x0000_s1073"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実証</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eastAsia" w:ascii="ＭＳ ゴシック" w:hAnsi="ＭＳ ゴシック" w:eastAsia="ＭＳ ゴシック"/>
                <w:color w:val="auto"/>
              </w:rPr>
            </w:pPr>
            <w:r>
              <w:rPr>
                <w:rFonts w:hint="eastAsia"/>
                <w:color w:val="auto"/>
              </w:rPr>
              <mc:AlternateContent>
                <mc:Choice Requires="wpg">
                  <w:drawing>
                    <wp:anchor simplePos="0" relativeHeight="44" behindDoc="0" locked="0" layoutInCell="1" hidden="0" allowOverlap="1">
                      <wp:simplePos x="0" y="0"/>
                      <wp:positionH relativeFrom="column">
                        <wp:posOffset>0</wp:posOffset>
                      </wp:positionH>
                      <wp:positionV relativeFrom="paragraph">
                        <wp:posOffset>68580</wp:posOffset>
                      </wp:positionV>
                      <wp:extent cx="2571750" cy="295275"/>
                      <wp:effectExtent l="635" t="635" r="29845" b="10795"/>
                      <wp:wrapNone/>
                      <wp:docPr id="1074" name="オブジェクト 0"/>
                      <a:graphic xmlns:a="http://schemas.openxmlformats.org/drawingml/2006/main">
                        <a:graphicData uri="http://schemas.microsoft.com/office/word/2010/wordprocessingGroup">
                          <wpg:wgp>
                            <wpg:cNvGrpSpPr/>
                            <wpg:grpSpPr>
                              <a:xfrm>
                                <a:off x="0" y="0"/>
                                <a:ext cx="2571750" cy="295275"/>
                                <a:chOff x="5783" y="10575"/>
                                <a:chExt cx="4087" cy="463"/>
                              </a:xfrm>
                            </wpg:grpSpPr>
                            <wps:wsp>
                              <wps:cNvPr id="1075"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76"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argin-top:5.4pt;mso-position-vertical-relative:text;mso-position-horizontal-relative:text;position:absolute;height:23.25pt;width:202.5pt;margin-left:0pt;z-index:44;" coordsize="4087,463" coordorigin="5783,10575" o:spid="_x0000_s1074"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75"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76"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929"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R3</w:t>
            </w:r>
            <w:r>
              <w:rPr>
                <w:rFonts w:hint="eastAsia" w:ascii="ＭＳ ゴシック" w:hAnsi="ＭＳ ゴシック" w:eastAsia="ＭＳ ゴシック"/>
                <w:color w:val="auto"/>
              </w:rPr>
              <w:t>末</w:t>
            </w:r>
          </w:p>
        </w:tc>
      </w:tr>
      <w:tr>
        <w:trPr>
          <w:trHeight w:val="720" w:hRule="atLeast"/>
        </w:trPr>
        <w:tc>
          <w:tcPr>
            <w:tcW w:w="3565"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セキュリティ対策の徹底</w:t>
            </w:r>
          </w:p>
        </w:tc>
        <w:tc>
          <w:tcPr>
            <w:tcW w:w="1050" w:type="dxa"/>
            <w:vAlign w:val="top"/>
          </w:tcPr>
          <w:p>
            <w:pPr>
              <w:pStyle w:val="0"/>
              <w:rPr>
                <w:rFonts w:hint="eastAsia" w:ascii="ＭＳ ゴシック" w:hAnsi="ＭＳ ゴシック" w:eastAsia="ＭＳ ゴシック"/>
                <w:color w:val="auto"/>
              </w:rPr>
            </w:pPr>
            <w:r>
              <w:rPr>
                <w:rFonts w:hint="eastAsia"/>
                <w:color w:val="auto"/>
              </w:rPr>
              <mc:AlternateContent>
                <mc:Choice Requires="wps">
                  <w:drawing>
                    <wp:anchor simplePos="0" relativeHeight="47" behindDoc="0" locked="0" layoutInCell="1" hidden="0" allowOverlap="1">
                      <wp:simplePos x="0" y="0"/>
                      <wp:positionH relativeFrom="page">
                        <wp:posOffset>1139825</wp:posOffset>
                      </wp:positionH>
                      <wp:positionV relativeFrom="page">
                        <wp:posOffset>93345</wp:posOffset>
                      </wp:positionV>
                      <wp:extent cx="1533525" cy="295275"/>
                      <wp:effectExtent l="0" t="0" r="635" b="635"/>
                      <wp:wrapNone/>
                      <wp:docPr id="1077" name="テキスト 77"/>
                      <a:graphic xmlns:a="http://schemas.openxmlformats.org/drawingml/2006/main">
                        <a:graphicData uri="http://schemas.microsoft.com/office/word/2010/wordprocessingShape">
                          <wps:wsp>
                            <wps:cNvPr id="1077" name="テキスト 77"/>
                            <wps:cNvSpPr txBox="1"/>
                            <wps:spPr>
                              <a:xfrm>
                                <a:off x="0" y="0"/>
                                <a:ext cx="1533525" cy="29527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default"/>
                                    </w:rPr>
                                  </w:pPr>
                                  <w:r>
                                    <w:rPr>
                                      <w:rFonts w:hint="default"/>
                                      <w:sz w:val="18"/>
                                    </w:rPr>
                                    <w:t>●</w:t>
                                  </w:r>
                                  <w:r>
                                    <w:rPr>
                                      <w:rFonts w:hint="eastAsia" w:ascii="ＭＳ ゴシック" w:hAnsi="ＭＳ ゴシック" w:eastAsia="ＭＳ ゴシック"/>
                                      <w:sz w:val="18"/>
                                    </w:rPr>
                                    <w:t>新ネットワーク更改</w:t>
                                  </w:r>
                                </w:p>
                              </w:txbxContent>
                            </wps:txbx>
                            <wps:bodyPr vertOverflow="overflow" horzOverflow="overflow" anchor="ctr" anchorCtr="0"/>
                          </wps:wsp>
                        </a:graphicData>
                      </a:graphic>
                    </wp:anchor>
                  </w:drawing>
                </mc:Choice>
                <mc:Fallback>
                  <w:pict>
                    <v:shapetype id="_x0000_t202" coordsize="21600,21600" o:spt="202" path="m,l,21600r21600,l21600,xe">
                      <v:stroke joinstyle="miter"/>
                      <v:path gradientshapeok="t" o:connecttype="rect"/>
                    </v:shapetype>
                    <v:shape id="テキスト 77" style="margin-top:7.35pt;mso-position-vertical-relative:page;mso-position-horizontal-relative:page;v-text-anchor:middle;position:absolute;height:23.25pt;width:120.75pt;margin-left:89.75pt;z-index:47;" o:spid="_x0000_s1077" o:allowincell="t" o:allowoverlap="t" filled="f" stroked="f" strokeweight="0.75pt" o:spt="202" type="#_x0000_t202">
                      <v:fill/>
                      <v:stroke linestyle="single"/>
                      <v:textbox style="layout-flow:horizontal;">
                        <w:txbxContent>
                          <w:p>
                            <w:pPr>
                              <w:pStyle w:val="0"/>
                              <w:snapToGrid w:val="0"/>
                              <w:rPr>
                                <w:rFonts w:hint="default"/>
                              </w:rPr>
                            </w:pPr>
                            <w:r>
                              <w:rPr>
                                <w:rFonts w:hint="default"/>
                                <w:sz w:val="18"/>
                              </w:rPr>
                              <w:t>●</w:t>
                            </w:r>
                            <w:r>
                              <w:rPr>
                                <w:rFonts w:hint="eastAsia" w:ascii="ＭＳ ゴシック" w:hAnsi="ＭＳ ゴシック" w:eastAsia="ＭＳ ゴシック"/>
                                <w:sz w:val="18"/>
                              </w:rPr>
                              <w:t>新ネットワーク更改</w:t>
                            </w:r>
                          </w:p>
                        </w:txbxContent>
                      </v:textbox>
                      <v:imagedata o:title=""/>
                      <w10:wrap type="none" anchorx="page" anchory="page"/>
                    </v:shape>
                  </w:pict>
                </mc:Fallback>
              </mc:AlternateContent>
            </w:r>
          </w:p>
        </w:tc>
        <w:tc>
          <w:tcPr>
            <w:tcW w:w="1050" w:type="dxa"/>
            <w:vAlign w:val="top"/>
          </w:tcPr>
          <w:p>
            <w:pPr>
              <w:pStyle w:val="0"/>
              <w:rPr>
                <w:rFonts w:hint="eastAsia" w:ascii="ＭＳ ゴシック" w:hAnsi="ＭＳ ゴシック" w:eastAsia="ＭＳ ゴシック"/>
                <w:color w:val="auto"/>
              </w:rPr>
            </w:pPr>
            <w:r>
              <w:rPr>
                <w:rFonts w:hint="eastAsia"/>
                <w:color w:val="auto"/>
              </w:rPr>
              <mc:AlternateContent>
                <mc:Choice Requires="wpg">
                  <w:drawing>
                    <wp:anchor simplePos="0" relativeHeight="48" behindDoc="0" locked="0" layoutInCell="1" hidden="0" allowOverlap="1">
                      <wp:simplePos x="0" y="0"/>
                      <wp:positionH relativeFrom="column">
                        <wp:posOffset>-687705</wp:posOffset>
                      </wp:positionH>
                      <wp:positionV relativeFrom="paragraph">
                        <wp:posOffset>81280</wp:posOffset>
                      </wp:positionV>
                      <wp:extent cx="1094740" cy="295275"/>
                      <wp:effectExtent l="635" t="635" r="29845" b="10795"/>
                      <wp:wrapNone/>
                      <wp:docPr id="1078" name="オブジェクト 0"/>
                      <a:graphic xmlns:a="http://schemas.openxmlformats.org/drawingml/2006/main">
                        <a:graphicData uri="http://schemas.microsoft.com/office/word/2010/wordprocessingGroup">
                          <wpg:wgp>
                            <wpg:cNvGrpSpPr/>
                            <wpg:grpSpPr>
                              <a:xfrm>
                                <a:off x="0" y="0"/>
                                <a:ext cx="1094740" cy="295275"/>
                                <a:chOff x="5783" y="10575"/>
                                <a:chExt cx="4087" cy="463"/>
                              </a:xfrm>
                            </wpg:grpSpPr>
                            <wps:wsp>
                              <wps:cNvPr id="1079"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80" name="オブジェクト 0"/>
                              <wps:cNvSpPr txBox="1"/>
                              <wps:spPr>
                                <a:xfrm>
                                  <a:off x="5867" y="10608"/>
                                  <a:ext cx="3677"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仕様確認</w:t>
                                    </w:r>
                                  </w:p>
                                </w:txbxContent>
                              </wps:txbx>
                              <wps:bodyPr vertOverflow="overflow" horzOverflow="overflow" wrap="square" lIns="74295" tIns="8890" rIns="74295" bIns="8890"/>
                            </wps:wsp>
                          </wpg:wgp>
                        </a:graphicData>
                      </a:graphic>
                    </wp:anchor>
                  </w:drawing>
                </mc:Choice>
                <mc:Fallback>
                  <w:pict>
                    <v:group id="オブジェクト 0" style="margin-top:6.4pt;mso-position-vertical-relative:text;mso-position-horizontal-relative:text;position:absolute;height:23.25pt;width:86.2pt;margin-left:-54.15pt;z-index:48;" coordsize="4087,463" coordorigin="5783,10575" o:spid="_x0000_s1078"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79"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7;top:10608;left:5867;position:absolute;" o:spid="_x0000_s1080"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仕様確認</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929"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R4</w:t>
            </w:r>
            <w:r>
              <w:rPr>
                <w:rFonts w:hint="eastAsia" w:ascii="ＭＳ ゴシック" w:hAnsi="ＭＳ ゴシック" w:eastAsia="ＭＳ ゴシック"/>
                <w:color w:val="auto"/>
              </w:rPr>
              <w:t>末</w:t>
            </w:r>
          </w:p>
        </w:tc>
      </w:tr>
      <w:tr>
        <w:trPr/>
        <w:tc>
          <w:tcPr>
            <w:tcW w:w="9744"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【自治体</w:t>
            </w:r>
            <w:r>
              <w:rPr>
                <w:rFonts w:hint="eastAsia" w:ascii="ＭＳ ゴシック" w:hAnsi="ＭＳ ゴシック" w:eastAsia="ＭＳ ゴシック"/>
                <w:color w:val="auto"/>
              </w:rPr>
              <w:t>DX</w:t>
            </w:r>
            <w:r>
              <w:rPr>
                <w:rFonts w:hint="eastAsia" w:ascii="ＭＳ ゴシック" w:hAnsi="ＭＳ ゴシック" w:eastAsia="ＭＳ ゴシック"/>
                <w:color w:val="auto"/>
              </w:rPr>
              <w:t>の取組みとあわせて取り組むべき事項】</w:t>
            </w:r>
          </w:p>
        </w:tc>
      </w:tr>
      <w:tr>
        <w:trPr>
          <w:trHeight w:val="700" w:hRule="atLeast"/>
        </w:trPr>
        <w:tc>
          <w:tcPr>
            <w:tcW w:w="3565"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地域社会のデジタル化</w:t>
            </w: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r>
              <w:rPr>
                <w:rFonts w:hint="eastAsia"/>
              </w:rPr>
              <mc:AlternateContent>
                <mc:Choice Requires="wpg">
                  <w:drawing>
                    <wp:anchor simplePos="0" relativeHeight="51" behindDoc="0" locked="0" layoutInCell="1" hidden="0" allowOverlap="1">
                      <wp:simplePos x="0" y="0"/>
                      <wp:positionH relativeFrom="column">
                        <wp:posOffset>-2696845</wp:posOffset>
                      </wp:positionH>
                      <wp:positionV relativeFrom="paragraph">
                        <wp:posOffset>72390</wp:posOffset>
                      </wp:positionV>
                      <wp:extent cx="3282950" cy="295275"/>
                      <wp:effectExtent l="635" t="635" r="29845" b="10795"/>
                      <wp:wrapNone/>
                      <wp:docPr id="1081" name="オブジェクト 0"/>
                      <a:graphic xmlns:a="http://schemas.openxmlformats.org/drawingml/2006/main">
                        <a:graphicData uri="http://schemas.microsoft.com/office/word/2010/wordprocessingGroup">
                          <wpg:wgp>
                            <wpg:cNvGrpSpPr/>
                            <wpg:grpSpPr>
                              <a:xfrm>
                                <a:off x="0" y="0"/>
                                <a:ext cx="3282950" cy="295275"/>
                                <a:chOff x="5783" y="10575"/>
                                <a:chExt cx="4087" cy="463"/>
                              </a:xfrm>
                            </wpg:grpSpPr>
                            <wps:wsp>
                              <wps:cNvPr id="1082"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83" name="オブジェクト 0"/>
                              <wps:cNvSpPr txBox="1"/>
                              <wps:spPr>
                                <a:xfrm>
                                  <a:off x="5867" y="10608"/>
                                  <a:ext cx="3675"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argin-top:5.7pt;mso-position-vertical-relative:text;mso-position-horizontal-relative:text;position:absolute;height:23.25pt;width:258.5pt;margin-left:-212.35pt;z-index:51;" coordsize="4087,463" coordorigin="5783,10575" o:spid="_x0000_s1081"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82"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5;top:10608;left:5867;position:absolute;" o:spid="_x0000_s1083"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p>
        </w:tc>
        <w:tc>
          <w:tcPr>
            <w:tcW w:w="929" w:type="dxa"/>
            <w:vAlign w:val="top"/>
          </w:tcPr>
          <w:p>
            <w:pPr>
              <w:pStyle w:val="0"/>
              <w:rPr>
                <w:rFonts w:hint="eastAsia" w:ascii="ＭＳ ゴシック" w:hAnsi="ＭＳ ゴシック" w:eastAsia="ＭＳ ゴシック"/>
                <w:color w:val="auto"/>
              </w:rPr>
            </w:pPr>
          </w:p>
        </w:tc>
      </w:tr>
      <w:tr>
        <w:trPr>
          <w:trHeight w:val="710" w:hRule="atLeast"/>
        </w:trPr>
        <w:tc>
          <w:tcPr>
            <w:tcW w:w="3565"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デジタルデバイド対策</w:t>
            </w: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r>
              <w:rPr>
                <w:rFonts w:hint="eastAsia"/>
                <w:color w:val="auto"/>
              </w:rPr>
              <mc:AlternateContent>
                <mc:Choice Requires="wpg">
                  <w:drawing>
                    <wp:anchor simplePos="0" relativeHeight="54" behindDoc="0" locked="0" layoutInCell="1" hidden="0" allowOverlap="1">
                      <wp:simplePos x="0" y="0"/>
                      <wp:positionH relativeFrom="column">
                        <wp:posOffset>-2696845</wp:posOffset>
                      </wp:positionH>
                      <wp:positionV relativeFrom="paragraph">
                        <wp:posOffset>76200</wp:posOffset>
                      </wp:positionV>
                      <wp:extent cx="3282950" cy="295275"/>
                      <wp:effectExtent l="635" t="635" r="29845" b="10795"/>
                      <wp:wrapNone/>
                      <wp:docPr id="1084" name="オブジェクト 0"/>
                      <a:graphic xmlns:a="http://schemas.openxmlformats.org/drawingml/2006/main">
                        <a:graphicData uri="http://schemas.microsoft.com/office/word/2010/wordprocessingGroup">
                          <wpg:wgp>
                            <wpg:cNvGrpSpPr/>
                            <wpg:grpSpPr>
                              <a:xfrm>
                                <a:off x="0" y="0"/>
                                <a:ext cx="3282950" cy="295275"/>
                                <a:chOff x="5783" y="10575"/>
                                <a:chExt cx="4087" cy="463"/>
                              </a:xfrm>
                            </wpg:grpSpPr>
                            <wps:wsp>
                              <wps:cNvPr id="1085"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86"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スマホ教室等の実施、調査研究</w:t>
                                    </w:r>
                                  </w:p>
                                </w:txbxContent>
                              </wps:txbx>
                              <wps:bodyPr vertOverflow="overflow" horzOverflow="overflow" wrap="square" lIns="74295" tIns="8890" rIns="74295" bIns="8890"/>
                            </wps:wsp>
                          </wpg:wgp>
                        </a:graphicData>
                      </a:graphic>
                    </wp:anchor>
                  </w:drawing>
                </mc:Choice>
                <mc:Fallback>
                  <w:pict>
                    <v:group id="オブジェクト 0" style="margin-top:6pt;mso-position-vertical-relative:text;mso-position-horizontal-relative:text;position:absolute;height:23.25pt;width:258.5pt;margin-left:-212.35pt;z-index:54;" coordsize="4087,463" coordorigin="5783,10575" o:spid="_x0000_s1084"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85"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86"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スマホ教室等の実施、調査研究</w:t>
                              </w:r>
                            </w:p>
                          </w:txbxContent>
                        </v:textbox>
                        <v:imagedata o:title=""/>
                        <w10:wrap type="none" anchorx="text" anchory="text"/>
                      </v:shape>
                      <w10:wrap type="none" anchorx="text" anchory="text"/>
                    </v:group>
                  </w:pict>
                </mc:Fallback>
              </mc:AlternateContent>
            </w:r>
          </w:p>
        </w:tc>
        <w:tc>
          <w:tcPr>
            <w:tcW w:w="929" w:type="dxa"/>
            <w:vAlign w:val="top"/>
          </w:tcPr>
          <w:p>
            <w:pPr>
              <w:pStyle w:val="0"/>
              <w:rPr>
                <w:rFonts w:hint="eastAsia" w:ascii="ＭＳ ゴシック" w:hAnsi="ＭＳ ゴシック" w:eastAsia="ＭＳ ゴシック"/>
                <w:color w:val="auto"/>
              </w:rPr>
            </w:pPr>
          </w:p>
        </w:tc>
      </w:tr>
      <w:tr>
        <w:trPr/>
        <w:tc>
          <w:tcPr>
            <w:tcW w:w="9744"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【その他】</w:t>
            </w:r>
          </w:p>
        </w:tc>
      </w:tr>
      <w:tr>
        <w:trPr/>
        <w:tc>
          <w:tcPr>
            <w:tcW w:w="3565"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BPR</w:t>
            </w:r>
            <w:r>
              <w:rPr>
                <w:rFonts w:hint="eastAsia" w:ascii="ＭＳ ゴシック" w:hAnsi="ＭＳ ゴシック" w:eastAsia="ＭＳ ゴシック"/>
                <w:color w:val="auto"/>
              </w:rPr>
              <w:t>の取組みの徹底＜書面・押印・対面の見直し関係＞　　</w:t>
            </w:r>
          </w:p>
        </w:tc>
        <w:tc>
          <w:tcPr>
            <w:tcW w:w="1050" w:type="dxa"/>
            <w:vAlign w:val="top"/>
          </w:tcPr>
          <w:p>
            <w:pPr>
              <w:pStyle w:val="0"/>
              <w:rPr>
                <w:rFonts w:hint="eastAsia" w:ascii="ＭＳ ゴシック" w:hAnsi="ＭＳ ゴシック" w:eastAsia="ＭＳ ゴシック"/>
                <w:color w:val="auto"/>
              </w:rPr>
            </w:pPr>
            <w:r>
              <w:rPr>
                <w:rFonts w:hint="eastAsia"/>
                <w:color w:val="auto"/>
              </w:rPr>
              <mc:AlternateContent>
                <mc:Choice Requires="wpg">
                  <w:drawing>
                    <wp:anchor simplePos="0" relativeHeight="117" behindDoc="0" locked="0" layoutInCell="1" hidden="0" allowOverlap="1">
                      <wp:simplePos x="0" y="0"/>
                      <wp:positionH relativeFrom="column">
                        <wp:posOffset>666750</wp:posOffset>
                      </wp:positionH>
                      <wp:positionV relativeFrom="paragraph">
                        <wp:posOffset>68580</wp:posOffset>
                      </wp:positionV>
                      <wp:extent cx="2571750" cy="295275"/>
                      <wp:effectExtent l="635" t="635" r="29845" b="10795"/>
                      <wp:wrapNone/>
                      <wp:docPr id="1087" name="オブジェクト 0"/>
                      <a:graphic xmlns:a="http://schemas.openxmlformats.org/drawingml/2006/main">
                        <a:graphicData uri="http://schemas.microsoft.com/office/word/2010/wordprocessingGroup">
                          <wpg:wgp>
                            <wpg:cNvGrpSpPr/>
                            <wpg:grpSpPr>
                              <a:xfrm>
                                <a:off x="0" y="0"/>
                                <a:ext cx="2571750" cy="295275"/>
                                <a:chOff x="5783" y="10575"/>
                                <a:chExt cx="4087" cy="463"/>
                              </a:xfrm>
                            </wpg:grpSpPr>
                            <wps:wsp>
                              <wps:cNvPr id="1088"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89"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argin-top:5.4pt;mso-position-vertical-relative:text;mso-position-horizontal-relative:text;position:absolute;height:23.25pt;width:202.5pt;margin-left:52.5pt;z-index:117;" coordsize="4087,463" coordorigin="5783,10575" o:spid="_x0000_s1087"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88"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89"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r>
              <w:rPr>
                <w:rFonts w:hint="eastAsia"/>
                <w:color w:val="auto"/>
              </w:rPr>
              <mc:AlternateContent>
                <mc:Choice Requires="wpg">
                  <w:drawing>
                    <wp:anchor simplePos="0" relativeHeight="120" behindDoc="0" locked="0" layoutInCell="1" hidden="0" allowOverlap="1">
                      <wp:simplePos x="0" y="0"/>
                      <wp:positionH relativeFrom="column">
                        <wp:posOffset>-20955</wp:posOffset>
                      </wp:positionH>
                      <wp:positionV relativeFrom="paragraph">
                        <wp:posOffset>68580</wp:posOffset>
                      </wp:positionV>
                      <wp:extent cx="546100" cy="330835"/>
                      <wp:effectExtent l="635" t="635" r="29845" b="10795"/>
                      <wp:wrapNone/>
                      <wp:docPr id="1090" name="オブジェクト 0"/>
                      <a:graphic xmlns:a="http://schemas.openxmlformats.org/drawingml/2006/main">
                        <a:graphicData uri="http://schemas.microsoft.com/office/word/2010/wordprocessingGroup">
                          <wpg:wgp>
                            <wpg:cNvGrpSpPr/>
                            <wpg:grpSpPr>
                              <a:xfrm>
                                <a:off x="0" y="0"/>
                                <a:ext cx="546100" cy="330835"/>
                                <a:chOff x="5783" y="10575"/>
                                <a:chExt cx="4087" cy="463"/>
                              </a:xfrm>
                            </wpg:grpSpPr>
                            <wps:wsp>
                              <wps:cNvPr id="1091"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92" name="オブジェクト 0"/>
                              <wps:cNvSpPr txBox="1"/>
                              <wps:spPr>
                                <a:xfrm>
                                  <a:off x="5867" y="10608"/>
                                  <a:ext cx="3678"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4"/>
                                      </w:rPr>
                                    </w:pPr>
                                    <w:r>
                                      <w:rPr>
                                        <w:rFonts w:hint="eastAsia" w:ascii="ＭＳ ゴシック" w:hAnsi="ＭＳ ゴシック" w:eastAsia="ＭＳ ゴシック"/>
                                        <w:sz w:val="14"/>
                                      </w:rPr>
                                      <w:t>見直し</w:t>
                                    </w:r>
                                  </w:p>
                                </w:txbxContent>
                              </wps:txbx>
                              <wps:bodyPr vertOverflow="overflow" horzOverflow="overflow" wrap="square" lIns="74295" tIns="8890" rIns="74295" bIns="8890"/>
                            </wps:wsp>
                          </wpg:wgp>
                        </a:graphicData>
                      </a:graphic>
                    </wp:anchor>
                  </w:drawing>
                </mc:Choice>
                <mc:Fallback>
                  <w:pict>
                    <v:group id="オブジェクト 0" style="margin-top:5.4pt;mso-position-vertical-relative:text;mso-position-horizontal-relative:text;position:absolute;height:26.05pt;width:43pt;margin-left:-1.65pt;z-index:120;" coordsize="4087,463" coordorigin="5783,10575" o:spid="_x0000_s1090"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91"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8;top:10608;left:5867;position:absolute;" o:spid="_x0000_s1092"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4"/>
                                </w:rPr>
                              </w:pPr>
                              <w:r>
                                <w:rPr>
                                  <w:rFonts w:hint="eastAsia" w:ascii="ＭＳ ゴシック" w:hAnsi="ＭＳ ゴシック" w:eastAsia="ＭＳ ゴシック"/>
                                  <w:sz w:val="14"/>
                                </w:rPr>
                                <w:t>見直し</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929"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R3</w:t>
            </w:r>
          </w:p>
        </w:tc>
      </w:tr>
      <w:tr>
        <w:trPr>
          <w:trHeight w:val="690" w:hRule="atLeast"/>
        </w:trPr>
        <w:tc>
          <w:tcPr>
            <w:tcW w:w="3565"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オープンデータの推進</w:t>
            </w:r>
          </w:p>
        </w:tc>
        <w:tc>
          <w:tcPr>
            <w:tcW w:w="1050" w:type="dxa"/>
            <w:vAlign w:val="top"/>
          </w:tcPr>
          <w:p>
            <w:pPr>
              <w:pStyle w:val="0"/>
              <w:rPr>
                <w:rFonts w:hint="eastAsia" w:ascii="ＭＳ ゴシック" w:hAnsi="ＭＳ ゴシック" w:eastAsia="ＭＳ ゴシック"/>
                <w:color w:val="auto"/>
              </w:rPr>
            </w:pPr>
            <w:r>
              <w:rPr>
                <w:rFonts w:hint="eastAsia"/>
                <w:color w:val="auto"/>
              </w:rPr>
              <mc:AlternateContent>
                <mc:Choice Requires="wpg">
                  <w:drawing>
                    <wp:anchor simplePos="0" relativeHeight="123" behindDoc="0" locked="0" layoutInCell="1" hidden="0" allowOverlap="1">
                      <wp:simplePos x="0" y="0"/>
                      <wp:positionH relativeFrom="column">
                        <wp:posOffset>0</wp:posOffset>
                      </wp:positionH>
                      <wp:positionV relativeFrom="paragraph">
                        <wp:posOffset>68580</wp:posOffset>
                      </wp:positionV>
                      <wp:extent cx="593725" cy="295275"/>
                      <wp:effectExtent l="635" t="635" r="29845" b="10795"/>
                      <wp:wrapNone/>
                      <wp:docPr id="1093" name="オブジェクト 0"/>
                      <a:graphic xmlns:a="http://schemas.openxmlformats.org/drawingml/2006/main">
                        <a:graphicData uri="http://schemas.microsoft.com/office/word/2010/wordprocessingGroup">
                          <wpg:wgp>
                            <wpg:cNvGrpSpPr/>
                            <wpg:grpSpPr>
                              <a:xfrm>
                                <a:off x="0" y="0"/>
                                <a:ext cx="593725" cy="295275"/>
                                <a:chOff x="5783" y="10575"/>
                                <a:chExt cx="4087" cy="463"/>
                              </a:xfrm>
                            </wpg:grpSpPr>
                            <wps:wsp>
                              <wps:cNvPr id="1094"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95" name="オブジェクト 0"/>
                              <wps:cNvSpPr txBox="1"/>
                              <wps:spPr>
                                <a:xfrm>
                                  <a:off x="5867" y="10608"/>
                                  <a:ext cx="3672"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4"/>
                                      </w:rPr>
                                    </w:pPr>
                                    <w:r>
                                      <w:rPr>
                                        <w:rFonts w:hint="eastAsia" w:ascii="ＭＳ ゴシック" w:hAnsi="ＭＳ ゴシック" w:eastAsia="ＭＳ ゴシック"/>
                                        <w:sz w:val="14"/>
                                      </w:rPr>
                                      <w:t>一括公開</w:t>
                                    </w:r>
                                  </w:p>
                                </w:txbxContent>
                              </wps:txbx>
                              <wps:bodyPr vertOverflow="overflow" horzOverflow="overflow" wrap="square" lIns="74295" tIns="8890" rIns="74295" bIns="8890"/>
                            </wps:wsp>
                          </wpg:wgp>
                        </a:graphicData>
                      </a:graphic>
                    </wp:anchor>
                  </w:drawing>
                </mc:Choice>
                <mc:Fallback>
                  <w:pict>
                    <v:group id="オブジェクト 0" style="margin-top:5.4pt;mso-position-vertical-relative:text;mso-position-horizontal-relative:text;position:absolute;height:23.25pt;width:46.75pt;margin-left:0pt;z-index:123;" coordsize="4087,463" coordorigin="5783,10575" o:spid="_x0000_s1093"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94"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2;top:10608;left:5867;position:absolute;" o:spid="_x0000_s1095"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4"/>
                                </w:rPr>
                              </w:pPr>
                              <w:r>
                                <w:rPr>
                                  <w:rFonts w:hint="eastAsia" w:ascii="ＭＳ ゴシック" w:hAnsi="ＭＳ ゴシック" w:eastAsia="ＭＳ ゴシック"/>
                                  <w:sz w:val="14"/>
                                </w:rPr>
                                <w:t>一括公開</w:t>
                              </w:r>
                            </w:p>
                          </w:txbxContent>
                        </v:textbox>
                        <v:imagedata o:title=""/>
                        <w10:wrap type="none" anchorx="text" anchory="text"/>
                      </v:shape>
                      <w10:wrap type="none" anchorx="text" anchory="text"/>
                    </v:group>
                  </w:pict>
                </mc:Fallback>
              </mc:AlternateContent>
            </w:r>
            <w:r>
              <w:rPr>
                <w:rFonts w:hint="eastAsia"/>
                <w:color w:val="auto"/>
              </w:rPr>
              <mc:AlternateContent>
                <mc:Choice Requires="wpg">
                  <w:drawing>
                    <wp:anchor simplePos="0" relativeHeight="126" behindDoc="0" locked="0" layoutInCell="1" hidden="0" allowOverlap="1">
                      <wp:simplePos x="0" y="0"/>
                      <wp:positionH relativeFrom="column">
                        <wp:posOffset>687705</wp:posOffset>
                      </wp:positionH>
                      <wp:positionV relativeFrom="paragraph">
                        <wp:posOffset>68580</wp:posOffset>
                      </wp:positionV>
                      <wp:extent cx="2571750" cy="295275"/>
                      <wp:effectExtent l="635" t="635" r="29845" b="10795"/>
                      <wp:wrapNone/>
                      <wp:docPr id="1096" name="オブジェクト 0"/>
                      <a:graphic xmlns:a="http://schemas.openxmlformats.org/drawingml/2006/main">
                        <a:graphicData uri="http://schemas.microsoft.com/office/word/2010/wordprocessingGroup">
                          <wpg:wgp>
                            <wpg:cNvGrpSpPr/>
                            <wpg:grpSpPr>
                              <a:xfrm>
                                <a:off x="0" y="0"/>
                                <a:ext cx="2571750" cy="295275"/>
                                <a:chOff x="5783" y="10575"/>
                                <a:chExt cx="4087" cy="463"/>
                              </a:xfrm>
                            </wpg:grpSpPr>
                            <wps:wsp>
                              <wps:cNvPr id="1097"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98"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argin-top:5.4pt;mso-position-vertical-relative:text;mso-position-horizontal-relative:text;position:absolute;height:23.25pt;width:202.5pt;margin-left:54.15pt;z-index:126;" coordsize="4087,463" coordorigin="5783,10575" o:spid="_x0000_s1096"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97"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98"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929"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R3</w:t>
            </w:r>
            <w:r>
              <w:rPr>
                <w:rFonts w:hint="eastAsia" w:ascii="ＭＳ ゴシック" w:hAnsi="ＭＳ ゴシック" w:eastAsia="ＭＳ ゴシック"/>
                <w:color w:val="auto"/>
              </w:rPr>
              <w:t>末</w:t>
            </w:r>
          </w:p>
        </w:tc>
      </w:tr>
      <w:tr>
        <w:trPr/>
        <w:tc>
          <w:tcPr>
            <w:tcW w:w="3565"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官民データ活用推進計画策定の推進</w:t>
            </w: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r>
              <w:rPr>
                <w:rFonts w:hint="eastAsia"/>
              </w:rPr>
              <mc:AlternateContent>
                <mc:Choice Requires="wpg">
                  <w:drawing>
                    <wp:anchor simplePos="0" relativeHeight="129" behindDoc="0" locked="0" layoutInCell="1" hidden="0" allowOverlap="1">
                      <wp:simplePos x="0" y="0"/>
                      <wp:positionH relativeFrom="column">
                        <wp:posOffset>-680720</wp:posOffset>
                      </wp:positionH>
                      <wp:positionV relativeFrom="paragraph">
                        <wp:posOffset>77470</wp:posOffset>
                      </wp:positionV>
                      <wp:extent cx="3282950" cy="295275"/>
                      <wp:effectExtent l="635" t="635" r="29845" b="10795"/>
                      <wp:wrapNone/>
                      <wp:docPr id="1099" name="オブジェクト 0"/>
                      <a:graphic xmlns:a="http://schemas.openxmlformats.org/drawingml/2006/main">
                        <a:graphicData uri="http://schemas.microsoft.com/office/word/2010/wordprocessingGroup">
                          <wpg:wgp>
                            <wpg:cNvGrpSpPr/>
                            <wpg:grpSpPr>
                              <a:xfrm>
                                <a:off x="0" y="0"/>
                                <a:ext cx="3282950" cy="295275"/>
                                <a:chOff x="5783" y="10575"/>
                                <a:chExt cx="4087" cy="463"/>
                              </a:xfrm>
                            </wpg:grpSpPr>
                            <wps:wsp>
                              <wps:cNvPr id="1100"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01" name="オブジェクト 0"/>
                              <wps:cNvSpPr txBox="1"/>
                              <wps:spPr>
                                <a:xfrm>
                                  <a:off x="5867" y="10608"/>
                                  <a:ext cx="3676"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検討・策定</w:t>
                                    </w:r>
                                  </w:p>
                                </w:txbxContent>
                              </wps:txbx>
                              <wps:bodyPr vertOverflow="overflow" horzOverflow="overflow" wrap="square" lIns="74295" tIns="8890" rIns="74295" bIns="8890"/>
                            </wps:wsp>
                          </wpg:wgp>
                        </a:graphicData>
                      </a:graphic>
                    </wp:anchor>
                  </w:drawing>
                </mc:Choice>
                <mc:Fallback>
                  <w:pict>
                    <v:group id="オブジェクト 0" style="margin-top:6.1pt;mso-position-vertical-relative:text;mso-position-horizontal-relative:text;position:absolute;height:23.25pt;width:258.5pt;margin-left:-53.6pt;z-index:129;" coordsize="4087,463" coordorigin="5783,10575" o:spid="_x0000_s1099"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00"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6;top:10608;left:5867;position:absolute;" o:spid="_x0000_s1101"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検討・策定</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929" w:type="dxa"/>
            <w:vAlign w:val="top"/>
          </w:tcPr>
          <w:p>
            <w:pPr>
              <w:pStyle w:val="0"/>
              <w:rPr>
                <w:rFonts w:hint="eastAsia" w:ascii="ＭＳ ゴシック" w:hAnsi="ＭＳ ゴシック" w:eastAsia="ＭＳ ゴシック"/>
                <w:color w:val="auto"/>
              </w:rPr>
            </w:pPr>
          </w:p>
        </w:tc>
      </w:tr>
      <w:tr>
        <w:trPr/>
        <w:tc>
          <w:tcPr>
            <w:tcW w:w="9744"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solid" w:themeColor="accent5" w:themeTint="33" w:themeShade="FF"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r>
              <w:rPr>
                <w:rFonts w:hint="eastAsia" w:ascii="ＭＳ ゴシック" w:hAnsi="ＭＳ ゴシック" w:eastAsia="ＭＳ ゴシック"/>
                <w:color w:val="auto"/>
              </w:rPr>
              <w:t>2</w:t>
            </w:r>
            <w:r>
              <w:rPr>
                <w:rFonts w:hint="eastAsia" w:ascii="ＭＳ ゴシック" w:hAnsi="ＭＳ ゴシック" w:eastAsia="ＭＳ ゴシック"/>
                <w:color w:val="auto"/>
              </w:rPr>
              <w:t>）利便性を向上した質の高い住民サービスの提供：</w:t>
            </w:r>
            <w:r>
              <w:rPr>
                <w:rFonts w:hint="eastAsia" w:ascii="ＭＳ ゴシック" w:hAnsi="ＭＳ ゴシック" w:eastAsia="ＭＳ ゴシック"/>
                <w:color w:val="auto"/>
              </w:rPr>
              <w:t>4</w:t>
            </w:r>
            <w:r>
              <w:rPr>
                <w:rFonts w:hint="eastAsia" w:ascii="ＭＳ ゴシック" w:hAnsi="ＭＳ ゴシック" w:eastAsia="ＭＳ ゴシック"/>
                <w:color w:val="auto"/>
              </w:rPr>
              <w:t>項目</w:t>
            </w:r>
          </w:p>
        </w:tc>
      </w:tr>
      <w:tr>
        <w:trPr>
          <w:trHeight w:val="690" w:hRule="atLeast"/>
        </w:trPr>
        <w:tc>
          <w:tcPr>
            <w:tcW w:w="3565"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窓口手続きへの</w:t>
            </w:r>
            <w:r>
              <w:rPr>
                <w:rFonts w:hint="eastAsia" w:ascii="ＭＳ ゴシック" w:hAnsi="ＭＳ ゴシック" w:eastAsia="ＭＳ ゴシック"/>
                <w:color w:val="auto"/>
              </w:rPr>
              <w:t>ICT</w:t>
            </w:r>
            <w:r>
              <w:rPr>
                <w:rFonts w:hint="eastAsia" w:ascii="ＭＳ ゴシック" w:hAnsi="ＭＳ ゴシック" w:eastAsia="ＭＳ ゴシック"/>
                <w:color w:val="auto"/>
              </w:rPr>
              <w:t>ツール導入</w:t>
            </w: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r>
              <w:rPr>
                <w:rFonts w:hint="eastAsia"/>
                <w:color w:val="auto"/>
              </w:rPr>
              <mc:AlternateContent>
                <mc:Choice Requires="wpg">
                  <w:drawing>
                    <wp:anchor simplePos="0" relativeHeight="57" behindDoc="0" locked="0" layoutInCell="1" hidden="0" allowOverlap="1">
                      <wp:simplePos x="0" y="0"/>
                      <wp:positionH relativeFrom="column">
                        <wp:posOffset>-2021205</wp:posOffset>
                      </wp:positionH>
                      <wp:positionV relativeFrom="paragraph">
                        <wp:posOffset>55880</wp:posOffset>
                      </wp:positionV>
                      <wp:extent cx="3282950" cy="295275"/>
                      <wp:effectExtent l="635" t="635" r="29845" b="10795"/>
                      <wp:wrapNone/>
                      <wp:docPr id="1102" name="オブジェクト 0"/>
                      <a:graphic xmlns:a="http://schemas.openxmlformats.org/drawingml/2006/main">
                        <a:graphicData uri="http://schemas.microsoft.com/office/word/2010/wordprocessingGroup">
                          <wpg:wgp>
                            <wpg:cNvGrpSpPr/>
                            <wpg:grpSpPr>
                              <a:xfrm>
                                <a:off x="0" y="0"/>
                                <a:ext cx="3282950" cy="295275"/>
                                <a:chOff x="5783" y="10575"/>
                                <a:chExt cx="4087" cy="463"/>
                              </a:xfrm>
                            </wpg:grpSpPr>
                            <wps:wsp>
                              <wps:cNvPr id="1103"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04" name="オブジェクト 0"/>
                              <wps:cNvSpPr txBox="1"/>
                              <wps:spPr>
                                <a:xfrm>
                                  <a:off x="5867" y="10608"/>
                                  <a:ext cx="3675"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argin-top:4.4000000000000004pt;mso-position-vertical-relative:text;mso-position-horizontal-relative:text;position:absolute;height:23.25pt;width:258.5pt;margin-left:-159.15pt;z-index:57;" coordsize="4087,463" coordorigin="5783,10575" o:spid="_x0000_s1102"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03"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5;top:10608;left:5867;position:absolute;" o:spid="_x0000_s1104"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eastAsia" w:ascii="ＭＳ ゴシック" w:hAnsi="ＭＳ ゴシック" w:eastAsia="ＭＳ ゴシック"/>
                <w:color w:val="auto"/>
              </w:rPr>
            </w:pPr>
          </w:p>
        </w:tc>
        <w:tc>
          <w:tcPr>
            <w:tcW w:w="929" w:type="dxa"/>
            <w:vAlign w:val="top"/>
          </w:tcPr>
          <w:p>
            <w:pPr>
              <w:pStyle w:val="0"/>
              <w:rPr>
                <w:rFonts w:hint="eastAsia" w:ascii="ＭＳ ゴシック" w:hAnsi="ＭＳ ゴシック" w:eastAsia="ＭＳ ゴシック"/>
                <w:color w:val="auto"/>
              </w:rPr>
            </w:pPr>
          </w:p>
        </w:tc>
      </w:tr>
      <w:tr>
        <w:trPr/>
        <w:tc>
          <w:tcPr>
            <w:tcW w:w="3565"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ICT</w:t>
            </w:r>
            <w:r>
              <w:rPr>
                <w:rFonts w:hint="eastAsia" w:ascii="ＭＳ ゴシック" w:hAnsi="ＭＳ ゴシック" w:eastAsia="ＭＳ ゴシック"/>
                <w:color w:val="auto"/>
              </w:rPr>
              <w:t>を活用した公共施設管理・サービス</w:t>
            </w: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r>
              <w:rPr>
                <w:rFonts w:hint="eastAsia"/>
                <w:color w:val="auto"/>
              </w:rPr>
              <mc:AlternateContent>
                <mc:Choice Requires="wpg">
                  <w:drawing>
                    <wp:anchor simplePos="0" relativeHeight="60" behindDoc="0" locked="0" layoutInCell="1" hidden="0" allowOverlap="1">
                      <wp:simplePos x="0" y="0"/>
                      <wp:positionH relativeFrom="column">
                        <wp:posOffset>-1354455</wp:posOffset>
                      </wp:positionH>
                      <wp:positionV relativeFrom="paragraph">
                        <wp:posOffset>59690</wp:posOffset>
                      </wp:positionV>
                      <wp:extent cx="1893570" cy="295275"/>
                      <wp:effectExtent l="635" t="635" r="29845" b="10795"/>
                      <wp:wrapNone/>
                      <wp:docPr id="1105" name="オブジェクト 0"/>
                      <a:graphic xmlns:a="http://schemas.openxmlformats.org/drawingml/2006/main">
                        <a:graphicData uri="http://schemas.microsoft.com/office/word/2010/wordprocessingGroup">
                          <wpg:wgp>
                            <wpg:cNvGrpSpPr/>
                            <wpg:grpSpPr>
                              <a:xfrm>
                                <a:off x="0" y="0"/>
                                <a:ext cx="1893570" cy="295275"/>
                                <a:chOff x="5783" y="10575"/>
                                <a:chExt cx="4087" cy="463"/>
                              </a:xfrm>
                            </wpg:grpSpPr>
                            <wps:wsp>
                              <wps:cNvPr id="1106"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07" name="オブジェクト 0"/>
                              <wps:cNvSpPr txBox="1"/>
                              <wps:spPr>
                                <a:xfrm>
                                  <a:off x="5867" y="10608"/>
                                  <a:ext cx="3677"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4"/>
                                      </w:rPr>
                                    </w:pPr>
                                    <w:r>
                                      <w:rPr>
                                        <w:rFonts w:hint="eastAsia" w:ascii="ＭＳ ゴシック" w:hAnsi="ＭＳ ゴシック" w:eastAsia="ＭＳ ゴシック"/>
                                        <w:sz w:val="18"/>
                                      </w:rPr>
                                      <w:t>検討（予約システム）</w:t>
                                    </w:r>
                                  </w:p>
                                </w:txbxContent>
                              </wps:txbx>
                              <wps:bodyPr vertOverflow="overflow" horzOverflow="overflow" wrap="square" lIns="74295" tIns="8890" rIns="74295" bIns="8890"/>
                            </wps:wsp>
                          </wpg:wgp>
                        </a:graphicData>
                      </a:graphic>
                    </wp:anchor>
                  </w:drawing>
                </mc:Choice>
                <mc:Fallback>
                  <w:pict>
                    <v:group id="オブジェクト 0" style="margin-top:4.7pt;mso-position-vertical-relative:text;mso-position-horizontal-relative:text;position:absolute;height:23.25pt;width:149.1pt;margin-left:-106.65pt;z-index:60;" coordsize="4087,463" coordorigin="5783,10575" o:spid="_x0000_s1105"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06"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7;top:10608;left:5867;position:absolute;" o:spid="_x0000_s1107"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4"/>
                                </w:rPr>
                              </w:pPr>
                              <w:r>
                                <w:rPr>
                                  <w:rFonts w:hint="eastAsia" w:ascii="ＭＳ ゴシック" w:hAnsi="ＭＳ ゴシック" w:eastAsia="ＭＳ ゴシック"/>
                                  <w:sz w:val="18"/>
                                </w:rPr>
                                <w:t>検討（予約システム）</w:t>
                              </w:r>
                            </w:p>
                          </w:txbxContent>
                        </v:textbox>
                        <v:imagedata o:title=""/>
                        <w10:wrap type="none" anchorx="text" anchory="text"/>
                      </v:shape>
                      <w10:wrap type="none" anchorx="text" anchory="text"/>
                    </v:group>
                  </w:pict>
                </mc:Fallback>
              </mc:AlternateContent>
            </w:r>
            <w:r>
              <w:rPr>
                <w:rFonts w:hint="eastAsia"/>
                <w:color w:val="auto"/>
              </w:rPr>
              <mc:AlternateContent>
                <mc:Choice Requires="wpg">
                  <w:drawing>
                    <wp:anchor simplePos="0" relativeHeight="63" behindDoc="0" locked="0" layoutInCell="1" hidden="0" allowOverlap="1">
                      <wp:simplePos x="0" y="0"/>
                      <wp:positionH relativeFrom="column">
                        <wp:posOffset>664210</wp:posOffset>
                      </wp:positionH>
                      <wp:positionV relativeFrom="paragraph">
                        <wp:posOffset>59690</wp:posOffset>
                      </wp:positionV>
                      <wp:extent cx="1238250" cy="295275"/>
                      <wp:effectExtent l="635" t="635" r="29845" b="10795"/>
                      <wp:wrapNone/>
                      <wp:docPr id="1108" name="オブジェクト 0"/>
                      <a:graphic xmlns:a="http://schemas.openxmlformats.org/drawingml/2006/main">
                        <a:graphicData uri="http://schemas.microsoft.com/office/word/2010/wordprocessingGroup">
                          <wpg:wgp>
                            <wpg:cNvGrpSpPr/>
                            <wpg:grpSpPr>
                              <a:xfrm>
                                <a:off x="0" y="0"/>
                                <a:ext cx="1238250" cy="295275"/>
                                <a:chOff x="5783" y="10575"/>
                                <a:chExt cx="4087" cy="463"/>
                              </a:xfrm>
                            </wpg:grpSpPr>
                            <wps:wsp>
                              <wps:cNvPr id="1109"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10" name="オブジェクト 0"/>
                              <wps:cNvSpPr txBox="1"/>
                              <wps:spPr>
                                <a:xfrm>
                                  <a:off x="5867" y="10608"/>
                                  <a:ext cx="3672"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argin-top:4.7pt;mso-position-vertical-relative:text;mso-position-horizontal-relative:text;position:absolute;height:23.25pt;width:97.5pt;margin-left:52.3pt;z-index:63;" coordsize="4087,463" coordorigin="5783,10575" o:spid="_x0000_s1108"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09"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2;top:10608;left:5867;position:absolute;" o:spid="_x0000_s1110"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929"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R5</w:t>
            </w:r>
            <w:r>
              <w:rPr>
                <w:rFonts w:hint="eastAsia" w:ascii="ＭＳ ゴシック" w:hAnsi="ＭＳ ゴシック" w:eastAsia="ＭＳ ゴシック"/>
                <w:color w:val="auto"/>
              </w:rPr>
              <w:t>末</w:t>
            </w:r>
          </w:p>
        </w:tc>
      </w:tr>
      <w:tr>
        <w:trPr>
          <w:trHeight w:val="360" w:hRule="atLeast"/>
        </w:trPr>
        <w:tc>
          <w:tcPr>
            <w:tcW w:w="3565" w:type="dxa"/>
            <w:vMerge w:val="restart"/>
            <w:shd w:val="solid" w:themeColor="accent2" w:themeTint="66" w:themeShade="FF" w:fill="auto"/>
            <w:vAlign w:val="center"/>
          </w:tcPr>
          <w:p>
            <w:pPr>
              <w:pStyle w:val="0"/>
              <w:jc w:val="center"/>
              <w:rPr>
                <w:rFonts w:hint="eastAsia"/>
              </w:rPr>
            </w:pPr>
            <w:r>
              <w:rPr>
                <w:rFonts w:hint="eastAsia" w:ascii="ＭＳ ゴシック" w:hAnsi="ＭＳ ゴシック" w:eastAsia="ＭＳ ゴシック"/>
                <w:color w:val="auto"/>
              </w:rPr>
              <w:t>取組事項</w:t>
            </w:r>
          </w:p>
        </w:tc>
        <w:tc>
          <w:tcPr>
            <w:tcW w:w="1050" w:type="dxa"/>
            <w:shd w:val="solid" w:themeColor="accent2" w:themeTint="66" w:themeShade="FF" w:fill="auto"/>
            <w:vAlign w:val="top"/>
          </w:tcPr>
          <w:p>
            <w:pPr>
              <w:pStyle w:val="0"/>
              <w:jc w:val="center"/>
              <w:rPr>
                <w:rFonts w:hint="eastAsia"/>
              </w:rPr>
            </w:pPr>
            <w:r>
              <w:rPr>
                <w:rFonts w:hint="eastAsia" w:ascii="ＭＳ ゴシック" w:hAnsi="ＭＳ ゴシック" w:eastAsia="ＭＳ ゴシック"/>
                <w:color w:val="auto"/>
                <w:sz w:val="18"/>
              </w:rPr>
              <w:t>2021</w:t>
            </w:r>
            <w:r>
              <w:rPr>
                <w:rFonts w:hint="eastAsia" w:ascii="ＭＳ ゴシック" w:hAnsi="ＭＳ ゴシック" w:eastAsia="ＭＳ ゴシック"/>
                <w:color w:val="auto"/>
                <w:sz w:val="18"/>
              </w:rPr>
              <w:t>年度</w:t>
            </w:r>
          </w:p>
        </w:tc>
        <w:tc>
          <w:tcPr>
            <w:tcW w:w="1050" w:type="dxa"/>
            <w:shd w:val="solid" w:themeColor="accent2" w:themeTint="66" w:themeShade="FF" w:fill="auto"/>
            <w:vAlign w:val="top"/>
          </w:tcPr>
          <w:p>
            <w:pPr>
              <w:pStyle w:val="0"/>
              <w:jc w:val="center"/>
              <w:rPr>
                <w:rFonts w:hint="eastAsia"/>
              </w:rPr>
            </w:pPr>
            <w:r>
              <w:rPr>
                <w:rFonts w:hint="eastAsia" w:ascii="ＭＳ ゴシック" w:hAnsi="ＭＳ ゴシック" w:eastAsia="ＭＳ ゴシック"/>
                <w:color w:val="auto"/>
                <w:sz w:val="18"/>
              </w:rPr>
              <w:t>2022</w:t>
            </w:r>
            <w:r>
              <w:rPr>
                <w:rFonts w:hint="eastAsia" w:ascii="ＭＳ ゴシック" w:hAnsi="ＭＳ ゴシック" w:eastAsia="ＭＳ ゴシック"/>
                <w:color w:val="auto"/>
                <w:sz w:val="18"/>
              </w:rPr>
              <w:t>年度</w:t>
            </w:r>
          </w:p>
        </w:tc>
        <w:tc>
          <w:tcPr>
            <w:tcW w:w="1050" w:type="dxa"/>
            <w:shd w:val="solid" w:themeColor="accent2" w:themeTint="66" w:themeShade="FF" w:fill="auto"/>
            <w:vAlign w:val="top"/>
          </w:tcPr>
          <w:p>
            <w:pPr>
              <w:pStyle w:val="0"/>
              <w:jc w:val="center"/>
              <w:rPr>
                <w:rFonts w:hint="eastAsia"/>
              </w:rPr>
            </w:pPr>
            <w:r>
              <w:rPr>
                <w:rFonts w:hint="eastAsia" w:ascii="ＭＳ ゴシック" w:hAnsi="ＭＳ ゴシック" w:eastAsia="ＭＳ ゴシック"/>
                <w:color w:val="auto"/>
                <w:sz w:val="18"/>
              </w:rPr>
              <w:t>2023</w:t>
            </w:r>
            <w:r>
              <w:rPr>
                <w:rFonts w:hint="eastAsia" w:ascii="ＭＳ ゴシック" w:hAnsi="ＭＳ ゴシック" w:eastAsia="ＭＳ ゴシック"/>
                <w:color w:val="auto"/>
                <w:sz w:val="18"/>
              </w:rPr>
              <w:t>年度</w:t>
            </w:r>
          </w:p>
        </w:tc>
        <w:tc>
          <w:tcPr>
            <w:tcW w:w="1050" w:type="dxa"/>
            <w:shd w:val="solid" w:themeColor="accent2" w:themeTint="66" w:themeShade="FF" w:fill="auto"/>
            <w:vAlign w:val="top"/>
          </w:tcPr>
          <w:p>
            <w:pPr>
              <w:pStyle w:val="0"/>
              <w:jc w:val="center"/>
              <w:rPr>
                <w:rFonts w:hint="eastAsia"/>
              </w:rPr>
            </w:pPr>
            <w:r>
              <w:rPr>
                <w:rFonts w:hint="eastAsia" w:ascii="ＭＳ ゴシック" w:hAnsi="ＭＳ ゴシック" w:eastAsia="ＭＳ ゴシック"/>
                <w:color w:val="auto"/>
                <w:sz w:val="18"/>
              </w:rPr>
              <w:t>2024</w:t>
            </w:r>
            <w:r>
              <w:rPr>
                <w:rFonts w:hint="eastAsia" w:ascii="ＭＳ ゴシック" w:hAnsi="ＭＳ ゴシック" w:eastAsia="ＭＳ ゴシック"/>
                <w:color w:val="auto"/>
                <w:sz w:val="18"/>
              </w:rPr>
              <w:t>年度</w:t>
            </w:r>
          </w:p>
        </w:tc>
        <w:tc>
          <w:tcPr>
            <w:tcW w:w="1050" w:type="dxa"/>
            <w:shd w:val="solid" w:themeColor="accent2" w:themeTint="66" w:themeShade="FF" w:fill="auto"/>
            <w:vAlign w:val="top"/>
          </w:tcPr>
          <w:p>
            <w:pPr>
              <w:pStyle w:val="0"/>
              <w:jc w:val="center"/>
              <w:rPr>
                <w:rFonts w:hint="eastAsia"/>
              </w:rPr>
            </w:pPr>
            <w:r>
              <w:rPr>
                <w:rFonts w:hint="eastAsia" w:ascii="ＭＳ ゴシック" w:hAnsi="ＭＳ ゴシック" w:eastAsia="ＭＳ ゴシック"/>
                <w:color w:val="auto"/>
                <w:sz w:val="18"/>
              </w:rPr>
              <w:t>2025</w:t>
            </w:r>
            <w:r>
              <w:rPr>
                <w:rFonts w:hint="eastAsia" w:ascii="ＭＳ ゴシック" w:hAnsi="ＭＳ ゴシック" w:eastAsia="ＭＳ ゴシック"/>
                <w:color w:val="auto"/>
                <w:sz w:val="18"/>
              </w:rPr>
              <w:t>年度</w:t>
            </w:r>
          </w:p>
        </w:tc>
        <w:tc>
          <w:tcPr>
            <w:tcW w:w="929" w:type="dxa"/>
            <w:vMerge w:val="restart"/>
            <w:shd w:val="solid" w:themeColor="accent2" w:themeTint="66" w:themeShade="FF" w:fill="auto"/>
            <w:vAlign w:val="top"/>
          </w:tcPr>
          <w:p>
            <w:pPr>
              <w:pStyle w:val="0"/>
              <w:jc w:val="center"/>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目標</w:t>
            </w:r>
          </w:p>
          <w:p>
            <w:pPr>
              <w:pStyle w:val="0"/>
              <w:jc w:val="center"/>
              <w:rPr>
                <w:rFonts w:hint="eastAsia"/>
              </w:rPr>
            </w:pPr>
            <w:r>
              <w:rPr>
                <w:rFonts w:hint="eastAsia" w:ascii="ＭＳ ゴシック" w:hAnsi="ＭＳ ゴシック" w:eastAsia="ＭＳ ゴシック"/>
                <w:color w:val="auto"/>
                <w:sz w:val="21"/>
              </w:rPr>
              <w:t>時期</w:t>
            </w:r>
          </w:p>
        </w:tc>
      </w:tr>
      <w:tr>
        <w:trPr/>
        <w:tc>
          <w:tcPr>
            <w:tcW w:w="3565" w:type="dxa"/>
            <w:vMerge w:val="continue"/>
            <w:shd w:val="solid" w:themeColor="accent2" w:themeTint="66" w:themeShade="FF" w:fill="auto"/>
            <w:vAlign w:val="center"/>
          </w:tcPr>
          <w:p>
            <w:pPr>
              <w:pStyle w:val="0"/>
              <w:rPr>
                <w:rFonts w:hint="eastAsia"/>
              </w:rPr>
            </w:pPr>
          </w:p>
        </w:tc>
        <w:tc>
          <w:tcPr>
            <w:tcW w:w="1050" w:type="dxa"/>
            <w:shd w:val="solid" w:themeColor="accent2" w:themeTint="66" w:themeShade="FF" w:fill="auto"/>
            <w:vAlign w:val="top"/>
          </w:tcPr>
          <w:p>
            <w:pPr>
              <w:pStyle w:val="0"/>
              <w:jc w:val="center"/>
              <w:rPr>
                <w:rFonts w:hint="eastAsia"/>
              </w:rPr>
            </w:pPr>
            <w:r>
              <w:rPr>
                <w:rFonts w:hint="eastAsia" w:ascii="ＭＳ ゴシック" w:hAnsi="ＭＳ ゴシック" w:eastAsia="ＭＳ ゴシック"/>
                <w:color w:val="auto"/>
                <w:sz w:val="21"/>
              </w:rPr>
              <w:t>R3</w:t>
            </w:r>
          </w:p>
        </w:tc>
        <w:tc>
          <w:tcPr>
            <w:tcW w:w="1050" w:type="dxa"/>
            <w:shd w:val="solid" w:themeColor="accent2" w:themeTint="66" w:themeShade="FF" w:fill="auto"/>
            <w:vAlign w:val="top"/>
          </w:tcPr>
          <w:p>
            <w:pPr>
              <w:pStyle w:val="0"/>
              <w:jc w:val="center"/>
              <w:rPr>
                <w:rFonts w:hint="eastAsia"/>
              </w:rPr>
            </w:pPr>
            <w:r>
              <w:rPr>
                <w:rFonts w:hint="eastAsia" w:ascii="ＭＳ ゴシック" w:hAnsi="ＭＳ ゴシック" w:eastAsia="ＭＳ ゴシック"/>
                <w:color w:val="auto"/>
                <w:sz w:val="21"/>
              </w:rPr>
              <w:t>R4</w:t>
            </w:r>
          </w:p>
        </w:tc>
        <w:tc>
          <w:tcPr>
            <w:tcW w:w="1050" w:type="dxa"/>
            <w:shd w:val="solid" w:themeColor="accent2" w:themeTint="66" w:themeShade="FF" w:fill="auto"/>
            <w:vAlign w:val="top"/>
          </w:tcPr>
          <w:p>
            <w:pPr>
              <w:pStyle w:val="0"/>
              <w:jc w:val="center"/>
              <w:rPr>
                <w:rFonts w:hint="eastAsia"/>
              </w:rPr>
            </w:pPr>
            <w:r>
              <w:rPr>
                <w:rFonts w:hint="eastAsia" w:ascii="ＭＳ ゴシック" w:hAnsi="ＭＳ ゴシック" w:eastAsia="ＭＳ ゴシック"/>
                <w:color w:val="auto"/>
                <w:sz w:val="21"/>
              </w:rPr>
              <w:t>R5</w:t>
            </w:r>
          </w:p>
        </w:tc>
        <w:tc>
          <w:tcPr>
            <w:tcW w:w="1050" w:type="dxa"/>
            <w:shd w:val="solid" w:themeColor="accent2" w:themeTint="66" w:themeShade="FF" w:fill="auto"/>
            <w:vAlign w:val="top"/>
          </w:tcPr>
          <w:p>
            <w:pPr>
              <w:pStyle w:val="0"/>
              <w:jc w:val="center"/>
              <w:rPr>
                <w:rFonts w:hint="eastAsia"/>
              </w:rPr>
            </w:pPr>
            <w:r>
              <w:rPr>
                <w:rFonts w:hint="eastAsia" w:ascii="ＭＳ ゴシック" w:hAnsi="ＭＳ ゴシック" w:eastAsia="ＭＳ ゴシック"/>
                <w:color w:val="auto"/>
                <w:sz w:val="21"/>
              </w:rPr>
              <w:t>R6</w:t>
            </w:r>
          </w:p>
        </w:tc>
        <w:tc>
          <w:tcPr>
            <w:tcW w:w="1050" w:type="dxa"/>
            <w:shd w:val="solid" w:themeColor="accent2" w:themeTint="66" w:themeShade="FF" w:fill="auto"/>
            <w:vAlign w:val="top"/>
          </w:tcPr>
          <w:p>
            <w:pPr>
              <w:pStyle w:val="0"/>
              <w:jc w:val="center"/>
              <w:rPr>
                <w:rFonts w:hint="eastAsia"/>
              </w:rPr>
            </w:pPr>
            <w:r>
              <w:rPr>
                <w:rFonts w:hint="eastAsia" w:ascii="ＭＳ ゴシック" w:hAnsi="ＭＳ ゴシック" w:eastAsia="ＭＳ ゴシック"/>
                <w:color w:val="auto"/>
                <w:sz w:val="21"/>
              </w:rPr>
              <w:t>R7</w:t>
            </w:r>
          </w:p>
        </w:tc>
        <w:tc>
          <w:tcPr>
            <w:tcW w:w="929" w:type="dxa"/>
            <w:vMerge w:val="continue"/>
            <w:shd w:val="solid" w:themeColor="accent2" w:themeTint="66" w:themeShade="FF" w:fill="auto"/>
            <w:vAlign w:val="top"/>
          </w:tcPr>
          <w:p>
            <w:pPr>
              <w:pStyle w:val="0"/>
              <w:rPr>
                <w:rFonts w:hint="eastAsia"/>
              </w:rPr>
            </w:pPr>
          </w:p>
        </w:tc>
      </w:tr>
      <w:tr>
        <w:trPr/>
        <w:tc>
          <w:tcPr>
            <w:tcW w:w="3565"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公共料金キャッシュレス化（施設使用料、税・手数料等）</w:t>
            </w: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929"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R4</w:t>
            </w:r>
            <w:r>
              <w:rPr>
                <w:rFonts w:hint="eastAsia" w:ascii="ＭＳ ゴシック" w:hAnsi="ＭＳ ゴシック" w:eastAsia="ＭＳ ゴシック"/>
                <w:color w:val="auto"/>
              </w:rPr>
              <w:t>末</w:t>
            </w:r>
          </w:p>
        </w:tc>
      </w:tr>
      <w:tr>
        <w:trPr/>
        <w:tc>
          <w:tcPr>
            <w:tcW w:w="3565"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SNS</w:t>
            </w:r>
            <w:r>
              <w:rPr>
                <w:rFonts w:hint="eastAsia" w:ascii="ＭＳ ゴシック" w:hAnsi="ＭＳ ゴシック" w:eastAsia="ＭＳ ゴシック"/>
                <w:color w:val="auto"/>
              </w:rPr>
              <w:t>を活用した市民と行政の情報共有</w:t>
            </w: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929" w:type="dxa"/>
            <w:vAlign w:val="top"/>
          </w:tcPr>
          <w:p>
            <w:pPr>
              <w:pStyle w:val="0"/>
              <w:rPr>
                <w:rFonts w:hint="eastAsia" w:ascii="ＭＳ ゴシック" w:hAnsi="ＭＳ ゴシック" w:eastAsia="ＭＳ ゴシック"/>
                <w:color w:val="auto"/>
              </w:rPr>
            </w:pPr>
          </w:p>
        </w:tc>
      </w:tr>
      <w:tr>
        <w:trPr/>
        <w:tc>
          <w:tcPr>
            <w:tcW w:w="9744"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solid" w:themeColor="accent5" w:themeTint="33" w:themeShade="FF"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r>
              <w:rPr>
                <w:rFonts w:hint="eastAsia" w:ascii="ＭＳ ゴシック" w:hAnsi="ＭＳ ゴシック" w:eastAsia="ＭＳ ゴシック"/>
                <w:color w:val="auto"/>
              </w:rPr>
              <w:t>3</w:t>
            </w:r>
            <w:r>
              <w:rPr>
                <w:rFonts w:hint="eastAsia" w:ascii="ＭＳ ゴシック" w:hAnsi="ＭＳ ゴシック" w:eastAsia="ＭＳ ゴシック"/>
                <w:color w:val="auto"/>
              </w:rPr>
              <w:t>）効率的・効果的な行政運営：</w:t>
            </w:r>
            <w:r>
              <w:rPr>
                <w:rFonts w:hint="eastAsia" w:ascii="ＭＳ ゴシック" w:hAnsi="ＭＳ ゴシック" w:eastAsia="ＭＳ ゴシック"/>
                <w:color w:val="auto"/>
              </w:rPr>
              <w:t>4</w:t>
            </w:r>
            <w:r>
              <w:rPr>
                <w:rFonts w:hint="eastAsia" w:ascii="ＭＳ ゴシック" w:hAnsi="ＭＳ ゴシック" w:eastAsia="ＭＳ ゴシック"/>
                <w:color w:val="auto"/>
              </w:rPr>
              <w:t>項目</w:t>
            </w:r>
          </w:p>
        </w:tc>
      </w:tr>
      <w:tr>
        <w:trPr>
          <w:trHeight w:val="670" w:hRule="atLeast"/>
        </w:trPr>
        <w:tc>
          <w:tcPr>
            <w:tcW w:w="3565"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電子決裁の推進・ペーパーレス化</w:t>
            </w: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929"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R4</w:t>
            </w:r>
            <w:r>
              <w:rPr>
                <w:rFonts w:hint="eastAsia" w:ascii="ＭＳ ゴシック" w:hAnsi="ＭＳ ゴシック" w:eastAsia="ＭＳ ゴシック"/>
                <w:color w:val="auto"/>
              </w:rPr>
              <w:t>末</w:t>
            </w:r>
          </w:p>
        </w:tc>
      </w:tr>
      <w:tr>
        <w:trPr>
          <w:trHeight w:val="710" w:hRule="atLeast"/>
        </w:trPr>
        <w:tc>
          <w:tcPr>
            <w:tcW w:w="3565"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ペーパーレス会議の推進</w:t>
            </w:r>
          </w:p>
        </w:tc>
        <w:tc>
          <w:tcPr>
            <w:tcW w:w="1050" w:type="dxa"/>
            <w:vAlign w:val="top"/>
          </w:tcPr>
          <w:p>
            <w:pPr>
              <w:pStyle w:val="0"/>
              <w:rPr>
                <w:rFonts w:hint="eastAsia" w:ascii="ＭＳ ゴシック" w:hAnsi="ＭＳ ゴシック" w:eastAsia="ＭＳ ゴシック"/>
                <w:color w:val="auto"/>
              </w:rPr>
            </w:pPr>
            <w:r>
              <w:rPr>
                <w:rFonts w:hint="eastAsia"/>
                <w:color w:val="auto"/>
              </w:rPr>
              <mc:AlternateContent>
                <mc:Choice Requires="wpg">
                  <w:drawing>
                    <wp:anchor simplePos="0" relativeHeight="90" behindDoc="0" locked="0" layoutInCell="1" hidden="0" allowOverlap="1">
                      <wp:simplePos x="0" y="0"/>
                      <wp:positionH relativeFrom="column">
                        <wp:posOffset>666750</wp:posOffset>
                      </wp:positionH>
                      <wp:positionV relativeFrom="paragraph">
                        <wp:posOffset>525780</wp:posOffset>
                      </wp:positionV>
                      <wp:extent cx="2571750" cy="295275"/>
                      <wp:effectExtent l="635" t="635" r="29845" b="10795"/>
                      <wp:wrapNone/>
                      <wp:docPr id="1111" name="オブジェクト 0"/>
                      <a:graphic xmlns:a="http://schemas.openxmlformats.org/drawingml/2006/main">
                        <a:graphicData uri="http://schemas.microsoft.com/office/word/2010/wordprocessingGroup">
                          <wpg:wgp>
                            <wpg:cNvGrpSpPr/>
                            <wpg:grpSpPr>
                              <a:xfrm>
                                <a:off x="0" y="0"/>
                                <a:ext cx="2571750" cy="295275"/>
                                <a:chOff x="5783" y="10575"/>
                                <a:chExt cx="4087" cy="463"/>
                              </a:xfrm>
                            </wpg:grpSpPr>
                            <wps:wsp>
                              <wps:cNvPr id="1112"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13"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argin-top:41.4pt;mso-position-vertical-relative:text;mso-position-horizontal-relative:text;position:absolute;height:23.25pt;width:202.5pt;margin-left:52.5pt;z-index:90;" coordsize="4087,463" coordorigin="5783,10575" o:spid="_x0000_s1111"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12"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113"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r>
              <w:rPr>
                <w:rFonts w:hint="eastAsia"/>
                <w:color w:val="auto"/>
              </w:rPr>
              <mc:AlternateContent>
                <mc:Choice Requires="wpg">
                  <w:drawing>
                    <wp:anchor simplePos="0" relativeHeight="93" behindDoc="0" locked="0" layoutInCell="1" hidden="0" allowOverlap="1">
                      <wp:simplePos x="0" y="0"/>
                      <wp:positionH relativeFrom="column">
                        <wp:posOffset>-20955</wp:posOffset>
                      </wp:positionH>
                      <wp:positionV relativeFrom="paragraph">
                        <wp:posOffset>982980</wp:posOffset>
                      </wp:positionV>
                      <wp:extent cx="3282950" cy="295275"/>
                      <wp:effectExtent l="635" t="635" r="29845" b="10795"/>
                      <wp:wrapNone/>
                      <wp:docPr id="1114" name="オブジェクト 0"/>
                      <a:graphic xmlns:a="http://schemas.openxmlformats.org/drawingml/2006/main">
                        <a:graphicData uri="http://schemas.microsoft.com/office/word/2010/wordprocessingGroup">
                          <wpg:wgp>
                            <wpg:cNvGrpSpPr/>
                            <wpg:grpSpPr>
                              <a:xfrm>
                                <a:off x="0" y="0"/>
                                <a:ext cx="3282950" cy="295275"/>
                                <a:chOff x="5783" y="10575"/>
                                <a:chExt cx="4087" cy="463"/>
                              </a:xfrm>
                            </wpg:grpSpPr>
                            <wps:wsp>
                              <wps:cNvPr id="1115"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16" name="オブジェクト 0"/>
                              <wps:cNvSpPr txBox="1"/>
                              <wps:spPr>
                                <a:xfrm>
                                  <a:off x="5867" y="10608"/>
                                  <a:ext cx="3675"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argin-top:77.400000000000006pt;mso-position-vertical-relative:text;mso-position-horizontal-relative:text;position:absolute;height:23.25pt;width:258.5pt;margin-left:-1.65pt;z-index:93;" coordsize="4087,463" coordorigin="5783,10575" o:spid="_x0000_s1114"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15"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5;top:10608;left:5867;position:absolute;" o:spid="_x0000_s1116"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r>
              <w:rPr>
                <w:rFonts w:hint="eastAsia"/>
                <w:color w:val="auto"/>
              </w:rPr>
              <mc:AlternateContent>
                <mc:Choice Requires="wpg">
                  <w:drawing>
                    <wp:anchor simplePos="0" relativeHeight="84" behindDoc="0" locked="0" layoutInCell="1" hidden="0" allowOverlap="1">
                      <wp:simplePos x="0" y="0"/>
                      <wp:positionH relativeFrom="column">
                        <wp:posOffset>1976120</wp:posOffset>
                      </wp:positionH>
                      <wp:positionV relativeFrom="paragraph">
                        <wp:posOffset>68580</wp:posOffset>
                      </wp:positionV>
                      <wp:extent cx="1238250" cy="295275"/>
                      <wp:effectExtent l="635" t="635" r="29845" b="10795"/>
                      <wp:wrapNone/>
                      <wp:docPr id="1117" name="オブジェクト 0"/>
                      <a:graphic xmlns:a="http://schemas.openxmlformats.org/drawingml/2006/main">
                        <a:graphicData uri="http://schemas.microsoft.com/office/word/2010/wordprocessingGroup">
                          <wpg:wgp>
                            <wpg:cNvGrpSpPr/>
                            <wpg:grpSpPr>
                              <a:xfrm>
                                <a:off x="0" y="0"/>
                                <a:ext cx="1238250" cy="295275"/>
                                <a:chOff x="5783" y="10575"/>
                                <a:chExt cx="4087" cy="463"/>
                              </a:xfrm>
                            </wpg:grpSpPr>
                            <wps:wsp>
                              <wps:cNvPr id="1118"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19"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argin-top:5.4pt;mso-position-vertical-relative:text;mso-position-horizontal-relative:text;position:absolute;height:23.25pt;width:97.5pt;margin-left:155.6pt;z-index:84;" coordsize="4087,463" coordorigin="5783,10575" o:spid="_x0000_s1117"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18"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119"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r>
              <w:rPr>
                <w:rFonts w:hint="eastAsia"/>
                <w:color w:val="auto"/>
              </w:rPr>
              <mc:AlternateContent>
                <mc:Choice Requires="wpg">
                  <w:drawing>
                    <wp:anchor simplePos="0" relativeHeight="78" behindDoc="0" locked="0" layoutInCell="1" hidden="0" allowOverlap="1">
                      <wp:simplePos x="0" y="0"/>
                      <wp:positionH relativeFrom="column">
                        <wp:posOffset>1333500</wp:posOffset>
                      </wp:positionH>
                      <wp:positionV relativeFrom="paragraph">
                        <wp:posOffset>-384175</wp:posOffset>
                      </wp:positionV>
                      <wp:extent cx="1893570" cy="295275"/>
                      <wp:effectExtent l="635" t="635" r="29845" b="10795"/>
                      <wp:wrapNone/>
                      <wp:docPr id="1120" name="オブジェクト 0"/>
                      <a:graphic xmlns:a="http://schemas.openxmlformats.org/drawingml/2006/main">
                        <a:graphicData uri="http://schemas.microsoft.com/office/word/2010/wordprocessingGroup">
                          <wpg:wgp>
                            <wpg:cNvGrpSpPr/>
                            <wpg:grpSpPr>
                              <a:xfrm>
                                <a:off x="0" y="0"/>
                                <a:ext cx="1893570" cy="295275"/>
                                <a:chOff x="5783" y="10575"/>
                                <a:chExt cx="4087" cy="463"/>
                              </a:xfrm>
                            </wpg:grpSpPr>
                            <wps:wsp>
                              <wps:cNvPr id="1121"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22" name="オブジェクト 0"/>
                              <wps:cNvSpPr txBox="1"/>
                              <wps:spPr>
                                <a:xfrm>
                                  <a:off x="5867" y="10608"/>
                                  <a:ext cx="3673"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argin-top:-30.25pt;mso-position-vertical-relative:text;mso-position-horizontal-relative:text;position:absolute;height:23.25pt;width:149.1pt;margin-left:105pt;z-index:78;" coordsize="4087,463" coordorigin="5783,10575" o:spid="_x0000_s1120"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21"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3;top:10608;left:5867;position:absolute;" o:spid="_x0000_s1122"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r>
              <w:rPr>
                <w:rFonts w:hint="eastAsia"/>
                <w:color w:val="auto"/>
              </w:rPr>
              <mc:AlternateContent>
                <mc:Choice Requires="wpg">
                  <w:drawing>
                    <wp:anchor simplePos="0" relativeHeight="72" behindDoc="0" locked="0" layoutInCell="1" hidden="0" allowOverlap="1">
                      <wp:simplePos x="0" y="0"/>
                      <wp:positionH relativeFrom="column">
                        <wp:posOffset>1333500</wp:posOffset>
                      </wp:positionH>
                      <wp:positionV relativeFrom="paragraph">
                        <wp:posOffset>-1504315</wp:posOffset>
                      </wp:positionV>
                      <wp:extent cx="1893570" cy="295275"/>
                      <wp:effectExtent l="635" t="635" r="29845" b="10795"/>
                      <wp:wrapNone/>
                      <wp:docPr id="1123" name="オブジェクト 0"/>
                      <a:graphic xmlns:a="http://schemas.openxmlformats.org/drawingml/2006/main">
                        <a:graphicData uri="http://schemas.microsoft.com/office/word/2010/wordprocessingGroup">
                          <wpg:wgp>
                            <wpg:cNvGrpSpPr/>
                            <wpg:grpSpPr>
                              <a:xfrm>
                                <a:off x="0" y="0"/>
                                <a:ext cx="1893570" cy="295275"/>
                                <a:chOff x="5783" y="10575"/>
                                <a:chExt cx="4087" cy="463"/>
                              </a:xfrm>
                            </wpg:grpSpPr>
                            <wps:wsp>
                              <wps:cNvPr id="1124"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25" name="オブジェクト 0"/>
                              <wps:cNvSpPr txBox="1"/>
                              <wps:spPr>
                                <a:xfrm>
                                  <a:off x="5867" y="10608"/>
                                  <a:ext cx="3673"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argin-top:-118.45pt;mso-position-vertical-relative:text;mso-position-horizontal-relative:text;position:absolute;height:23.25pt;width:149.1pt;margin-left:105pt;z-index:72;" coordsize="4087,463" coordorigin="5783,10575" o:spid="_x0000_s1123"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24"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3;top:10608;left:5867;position:absolute;" o:spid="_x0000_s1125"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r>
              <w:rPr>
                <w:rFonts w:hint="eastAsia"/>
                <w:color w:val="auto"/>
              </w:rPr>
              <mc:AlternateContent>
                <mc:Choice Requires="wpg">
                  <w:drawing>
                    <wp:anchor simplePos="0" relativeHeight="69" behindDoc="0" locked="0" layoutInCell="1" hidden="0" allowOverlap="1">
                      <wp:simplePos x="0" y="0"/>
                      <wp:positionH relativeFrom="column">
                        <wp:posOffset>-20955</wp:posOffset>
                      </wp:positionH>
                      <wp:positionV relativeFrom="paragraph">
                        <wp:posOffset>-1040765</wp:posOffset>
                      </wp:positionV>
                      <wp:extent cx="3282950" cy="295275"/>
                      <wp:effectExtent l="635" t="635" r="29845" b="10795"/>
                      <wp:wrapNone/>
                      <wp:docPr id="1126" name="オブジェクト 0"/>
                      <a:graphic xmlns:a="http://schemas.openxmlformats.org/drawingml/2006/main">
                        <a:graphicData uri="http://schemas.microsoft.com/office/word/2010/wordprocessingGroup">
                          <wpg:wgp>
                            <wpg:cNvGrpSpPr/>
                            <wpg:grpSpPr>
                              <a:xfrm>
                                <a:off x="0" y="0"/>
                                <a:ext cx="3282950" cy="295275"/>
                                <a:chOff x="5783" y="10575"/>
                                <a:chExt cx="4087" cy="463"/>
                              </a:xfrm>
                            </wpg:grpSpPr>
                            <wps:wsp>
                              <wps:cNvPr id="1127"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28" name="オブジェクト 0"/>
                              <wps:cNvSpPr txBox="1"/>
                              <wps:spPr>
                                <a:xfrm>
                                  <a:off x="5867" y="10608"/>
                                  <a:ext cx="3675"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argin-top:-81.95pt;mso-position-vertical-relative:text;mso-position-horizontal-relative:text;position:absolute;height:23.25pt;width:258.5pt;margin-left:-1.65pt;z-index:69;" coordsize="4087,463" coordorigin="5783,10575" o:spid="_x0000_s1126"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27"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5;top:10608;left:5867;position:absolute;" o:spid="_x0000_s1128"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r>
              <w:rPr>
                <w:rFonts w:hint="eastAsia"/>
                <w:color w:val="auto"/>
              </w:rPr>
              <mc:AlternateContent>
                <mc:Choice Requires="wpg">
                  <w:drawing>
                    <wp:anchor simplePos="0" relativeHeight="75" behindDoc="0" locked="0" layoutInCell="1" hidden="0" allowOverlap="1">
                      <wp:simplePos x="0" y="0"/>
                      <wp:positionH relativeFrom="column">
                        <wp:posOffset>-20955</wp:posOffset>
                      </wp:positionH>
                      <wp:positionV relativeFrom="paragraph">
                        <wp:posOffset>-384175</wp:posOffset>
                      </wp:positionV>
                      <wp:extent cx="1238250" cy="295275"/>
                      <wp:effectExtent l="635" t="635" r="29845" b="10795"/>
                      <wp:wrapNone/>
                      <wp:docPr id="1129" name="オブジェクト 0"/>
                      <a:graphic xmlns:a="http://schemas.openxmlformats.org/drawingml/2006/main">
                        <a:graphicData uri="http://schemas.microsoft.com/office/word/2010/wordprocessingGroup">
                          <wpg:wgp>
                            <wpg:cNvGrpSpPr/>
                            <wpg:grpSpPr>
                              <a:xfrm>
                                <a:off x="0" y="0"/>
                                <a:ext cx="1238250" cy="295275"/>
                                <a:chOff x="5783" y="10575"/>
                                <a:chExt cx="4087" cy="463"/>
                              </a:xfrm>
                            </wpg:grpSpPr>
                            <wps:wsp>
                              <wps:cNvPr id="1130"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31" name="オブジェクト 0"/>
                              <wps:cNvSpPr txBox="1"/>
                              <wps:spPr>
                                <a:xfrm>
                                  <a:off x="5867" y="10608"/>
                                  <a:ext cx="3676"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argin-top:-30.25pt;mso-position-vertical-relative:text;mso-position-horizontal-relative:text;position:absolute;height:23.25pt;width:97.5pt;margin-left:-1.65pt;z-index:75;" coordsize="4087,463" coordorigin="5783,10575" o:spid="_x0000_s1129"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30"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6;top:10608;left:5867;position:absolute;" o:spid="_x0000_s1131"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r>
              <w:rPr>
                <w:rFonts w:hint="eastAsia"/>
                <w:color w:val="auto"/>
              </w:rPr>
              <mc:AlternateContent>
                <mc:Choice Requires="wpg">
                  <w:drawing>
                    <wp:anchor simplePos="0" relativeHeight="81" behindDoc="0" locked="0" layoutInCell="1" hidden="0" allowOverlap="1">
                      <wp:simplePos x="0" y="0"/>
                      <wp:positionH relativeFrom="column">
                        <wp:posOffset>-20955</wp:posOffset>
                      </wp:positionH>
                      <wp:positionV relativeFrom="paragraph">
                        <wp:posOffset>68580</wp:posOffset>
                      </wp:positionV>
                      <wp:extent cx="1893570" cy="295275"/>
                      <wp:effectExtent l="635" t="635" r="29845" b="10795"/>
                      <wp:wrapNone/>
                      <wp:docPr id="1132" name="オブジェクト 0"/>
                      <a:graphic xmlns:a="http://schemas.openxmlformats.org/drawingml/2006/main">
                        <a:graphicData uri="http://schemas.microsoft.com/office/word/2010/wordprocessingGroup">
                          <wpg:wgp>
                            <wpg:cNvGrpSpPr/>
                            <wpg:grpSpPr>
                              <a:xfrm>
                                <a:off x="0" y="0"/>
                                <a:ext cx="1893570" cy="295275"/>
                                <a:chOff x="5783" y="10575"/>
                                <a:chExt cx="4087" cy="463"/>
                              </a:xfrm>
                            </wpg:grpSpPr>
                            <wps:wsp>
                              <wps:cNvPr id="1133"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34" name="オブジェクト 0"/>
                              <wps:cNvSpPr txBox="1"/>
                              <wps:spPr>
                                <a:xfrm>
                                  <a:off x="5867" y="10608"/>
                                  <a:ext cx="3676"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実証・環境整備（</w:t>
                                    </w:r>
                                    <w:r>
                                      <w:rPr>
                                        <w:rFonts w:hint="eastAsia" w:ascii="ＭＳ ゴシック" w:hAnsi="ＭＳ ゴシック" w:eastAsia="ＭＳ ゴシック"/>
                                        <w:sz w:val="18"/>
                                      </w:rPr>
                                      <w:t>PC</w:t>
                                    </w:r>
                                    <w:r>
                                      <w:rPr>
                                        <w:rFonts w:hint="eastAsia" w:ascii="ＭＳ ゴシック" w:hAnsi="ＭＳ ゴシック" w:eastAsia="ＭＳ ゴシック"/>
                                        <w:sz w:val="18"/>
                                      </w:rPr>
                                      <w:t>入替）</w:t>
                                    </w:r>
                                  </w:p>
                                </w:txbxContent>
                              </wps:txbx>
                              <wps:bodyPr vertOverflow="overflow" horzOverflow="overflow" wrap="square" lIns="74295" tIns="8890" rIns="74295" bIns="8890"/>
                            </wps:wsp>
                          </wpg:wgp>
                        </a:graphicData>
                      </a:graphic>
                    </wp:anchor>
                  </w:drawing>
                </mc:Choice>
                <mc:Fallback>
                  <w:pict>
                    <v:group id="オブジェクト 0" style="margin-top:5.4pt;mso-position-vertical-relative:text;mso-position-horizontal-relative:text;position:absolute;height:23.25pt;width:149.1pt;margin-left:-1.65pt;z-index:81;" coordsize="4087,463" coordorigin="5783,10575" o:spid="_x0000_s1132"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33"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6;top:10608;left:5867;position:absolute;" o:spid="_x0000_s1134"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実証・環境整備（</w:t>
                              </w:r>
                              <w:r>
                                <w:rPr>
                                  <w:rFonts w:hint="eastAsia" w:ascii="ＭＳ ゴシック" w:hAnsi="ＭＳ ゴシック" w:eastAsia="ＭＳ ゴシック"/>
                                  <w:sz w:val="18"/>
                                </w:rPr>
                                <w:t>PC</w:t>
                              </w:r>
                              <w:r>
                                <w:rPr>
                                  <w:rFonts w:hint="eastAsia" w:ascii="ＭＳ ゴシック" w:hAnsi="ＭＳ ゴシック" w:eastAsia="ＭＳ ゴシック"/>
                                  <w:sz w:val="18"/>
                                </w:rPr>
                                <w:t>入替）</w:t>
                              </w:r>
                            </w:p>
                          </w:txbxContent>
                        </v:textbox>
                        <v:imagedata o:title=""/>
                        <w10:wrap type="none" anchorx="text" anchory="text"/>
                      </v:shape>
                      <w10:wrap type="none" anchorx="text" anchory="text"/>
                    </v:group>
                  </w:pict>
                </mc:Fallback>
              </mc:AlternateContent>
            </w:r>
            <w:r>
              <w:rPr>
                <w:rFonts w:hint="eastAsia"/>
                <w:color w:val="auto"/>
              </w:rPr>
              <mc:AlternateContent>
                <mc:Choice Requires="wpg">
                  <w:drawing>
                    <wp:anchor simplePos="0" relativeHeight="87" behindDoc="0" locked="0" layoutInCell="1" hidden="0" allowOverlap="1">
                      <wp:simplePos x="0" y="0"/>
                      <wp:positionH relativeFrom="column">
                        <wp:posOffset>-20955</wp:posOffset>
                      </wp:positionH>
                      <wp:positionV relativeFrom="paragraph">
                        <wp:posOffset>525780</wp:posOffset>
                      </wp:positionV>
                      <wp:extent cx="593725" cy="295275"/>
                      <wp:effectExtent l="635" t="635" r="29845" b="10795"/>
                      <wp:wrapNone/>
                      <wp:docPr id="1135" name="オブジェクト 0"/>
                      <a:graphic xmlns:a="http://schemas.openxmlformats.org/drawingml/2006/main">
                        <a:graphicData uri="http://schemas.microsoft.com/office/word/2010/wordprocessingGroup">
                          <wpg:wgp>
                            <wpg:cNvGrpSpPr/>
                            <wpg:grpSpPr>
                              <a:xfrm>
                                <a:off x="0" y="0"/>
                                <a:ext cx="593725" cy="295275"/>
                                <a:chOff x="5783" y="10575"/>
                                <a:chExt cx="4087" cy="463"/>
                              </a:xfrm>
                            </wpg:grpSpPr>
                            <wps:wsp>
                              <wps:cNvPr id="1136"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37" name="オブジェクト 0"/>
                              <wps:cNvSpPr txBox="1"/>
                              <wps:spPr>
                                <a:xfrm>
                                  <a:off x="5867" y="10608"/>
                                  <a:ext cx="3676"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実証</w:t>
                                    </w:r>
                                  </w:p>
                                </w:txbxContent>
                              </wps:txbx>
                              <wps:bodyPr vertOverflow="overflow" horzOverflow="overflow" wrap="square" lIns="74295" tIns="8890" rIns="74295" bIns="8890"/>
                            </wps:wsp>
                          </wpg:wgp>
                        </a:graphicData>
                      </a:graphic>
                    </wp:anchor>
                  </w:drawing>
                </mc:Choice>
                <mc:Fallback>
                  <w:pict>
                    <v:group id="オブジェクト 0" style="margin-top:41.4pt;mso-position-vertical-relative:text;mso-position-horizontal-relative:text;position:absolute;height:23.25pt;width:46.75pt;margin-left:-1.65pt;z-index:87;" coordsize="4087,463" coordorigin="5783,10575" o:spid="_x0000_s1135"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36"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6;top:10608;left:5867;position:absolute;" o:spid="_x0000_s1137"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実証</w:t>
                              </w:r>
                            </w:p>
                          </w:txbxContent>
                        </v:textbox>
                        <v:imagedata o:title=""/>
                        <w10:wrap type="none" anchorx="text" anchory="text"/>
                      </v:shape>
                      <w10:wrap type="none" anchorx="text" anchory="text"/>
                    </v:group>
                  </w:pict>
                </mc:Fallback>
              </mc:AlternateContent>
            </w:r>
            <w:r>
              <w:rPr>
                <w:rFonts w:hint="eastAsia"/>
                <w:color w:val="auto"/>
              </w:rPr>
              <mc:AlternateContent>
                <mc:Choice Requires="wpg">
                  <w:drawing>
                    <wp:anchor simplePos="0" relativeHeight="66" behindDoc="0" locked="0" layoutInCell="1" hidden="0" allowOverlap="1">
                      <wp:simplePos x="0" y="0"/>
                      <wp:positionH relativeFrom="column">
                        <wp:posOffset>-20955</wp:posOffset>
                      </wp:positionH>
                      <wp:positionV relativeFrom="paragraph">
                        <wp:posOffset>-1504315</wp:posOffset>
                      </wp:positionV>
                      <wp:extent cx="1238250" cy="295275"/>
                      <wp:effectExtent l="635" t="635" r="29845" b="10795"/>
                      <wp:wrapNone/>
                      <wp:docPr id="1138" name="オブジェクト 0"/>
                      <a:graphic xmlns:a="http://schemas.openxmlformats.org/drawingml/2006/main">
                        <a:graphicData uri="http://schemas.microsoft.com/office/word/2010/wordprocessingGroup">
                          <wpg:wgp>
                            <wpg:cNvGrpSpPr/>
                            <wpg:grpSpPr>
                              <a:xfrm>
                                <a:off x="0" y="0"/>
                                <a:ext cx="1238250" cy="295275"/>
                                <a:chOff x="5783" y="10575"/>
                                <a:chExt cx="4087" cy="463"/>
                              </a:xfrm>
                            </wpg:grpSpPr>
                            <wps:wsp>
                              <wps:cNvPr id="1139"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40" name="オブジェクト 0"/>
                              <wps:cNvSpPr txBox="1"/>
                              <wps:spPr>
                                <a:xfrm>
                                  <a:off x="5867" y="10608"/>
                                  <a:ext cx="3676"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検討・導入（一部）</w:t>
                                    </w:r>
                                  </w:p>
                                </w:txbxContent>
                              </wps:txbx>
                              <wps:bodyPr vertOverflow="overflow" horzOverflow="overflow" wrap="square" lIns="74295" tIns="8890" rIns="74295" bIns="8890"/>
                            </wps:wsp>
                          </wpg:wgp>
                        </a:graphicData>
                      </a:graphic>
                    </wp:anchor>
                  </w:drawing>
                </mc:Choice>
                <mc:Fallback>
                  <w:pict>
                    <v:group id="オブジェクト 0" style="margin-top:-118.45pt;mso-position-vertical-relative:text;mso-position-horizontal-relative:text;position:absolute;height:23.25pt;width:97.5pt;margin-left:-1.65pt;z-index:66;" coordsize="4087,463" coordorigin="5783,10575" o:spid="_x0000_s1138"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39"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6;top:10608;left:5867;position:absolute;" o:spid="_x0000_s1140"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検討・導入（一部）</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929"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R5</w:t>
            </w:r>
            <w:r>
              <w:rPr>
                <w:rFonts w:hint="eastAsia" w:ascii="ＭＳ ゴシック" w:hAnsi="ＭＳ ゴシック" w:eastAsia="ＭＳ ゴシック"/>
                <w:color w:val="auto"/>
              </w:rPr>
              <w:t>末</w:t>
            </w:r>
          </w:p>
        </w:tc>
      </w:tr>
      <w:tr>
        <w:trPr>
          <w:trHeight w:val="710" w:hRule="atLeast"/>
        </w:trPr>
        <w:tc>
          <w:tcPr>
            <w:tcW w:w="3565"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電子契約の導入</w:t>
            </w: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929" w:type="dxa"/>
            <w:vAlign w:val="top"/>
          </w:tcPr>
          <w:p>
            <w:pPr>
              <w:pStyle w:val="0"/>
              <w:rPr>
                <w:rFonts w:hint="eastAsia" w:ascii="ＭＳ ゴシック" w:hAnsi="ＭＳ ゴシック" w:eastAsia="ＭＳ ゴシック"/>
                <w:color w:val="auto"/>
              </w:rPr>
            </w:pPr>
          </w:p>
        </w:tc>
      </w:tr>
      <w:tr>
        <w:trPr/>
        <w:tc>
          <w:tcPr>
            <w:tcW w:w="3565"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職員のリテラシー向上及びその他</w:t>
            </w:r>
            <w:r>
              <w:rPr>
                <w:rFonts w:hint="eastAsia" w:ascii="ＭＳ ゴシック" w:hAnsi="ＭＳ ゴシック" w:eastAsia="ＭＳ ゴシック"/>
                <w:color w:val="auto"/>
              </w:rPr>
              <w:t>ICT</w:t>
            </w:r>
            <w:r>
              <w:rPr>
                <w:rFonts w:hint="eastAsia" w:ascii="ＭＳ ゴシック" w:hAnsi="ＭＳ ゴシック" w:eastAsia="ＭＳ ゴシック"/>
                <w:color w:val="auto"/>
              </w:rPr>
              <w:t>利活用の調査・研究</w:t>
            </w: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929" w:type="dxa"/>
            <w:vAlign w:val="top"/>
          </w:tcPr>
          <w:p>
            <w:pPr>
              <w:pStyle w:val="0"/>
              <w:rPr>
                <w:rFonts w:hint="eastAsia" w:ascii="ＭＳ ゴシック" w:hAnsi="ＭＳ ゴシック" w:eastAsia="ＭＳ ゴシック"/>
                <w:color w:val="auto"/>
              </w:rPr>
            </w:pPr>
          </w:p>
        </w:tc>
      </w:tr>
      <w:tr>
        <w:trPr/>
        <w:tc>
          <w:tcPr>
            <w:tcW w:w="9744"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solid" w:themeColor="accent5" w:themeTint="33" w:themeShade="FF"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r>
              <w:rPr>
                <w:rFonts w:hint="eastAsia" w:ascii="ＭＳ ゴシック" w:hAnsi="ＭＳ ゴシック" w:eastAsia="ＭＳ ゴシック"/>
                <w:color w:val="auto"/>
              </w:rPr>
              <w:t>4</w:t>
            </w:r>
            <w:r>
              <w:rPr>
                <w:rFonts w:hint="eastAsia" w:ascii="ＭＳ ゴシック" w:hAnsi="ＭＳ ゴシック" w:eastAsia="ＭＳ ゴシック"/>
                <w:color w:val="auto"/>
              </w:rPr>
              <w:t>）地域課題の解決：</w:t>
            </w:r>
            <w:r>
              <w:rPr>
                <w:rFonts w:hint="eastAsia" w:ascii="ＭＳ ゴシック" w:hAnsi="ＭＳ ゴシック" w:eastAsia="ＭＳ ゴシック"/>
                <w:color w:val="auto"/>
              </w:rPr>
              <w:t>3</w:t>
            </w:r>
            <w:r>
              <w:rPr>
                <w:rFonts w:hint="eastAsia" w:ascii="ＭＳ ゴシック" w:hAnsi="ＭＳ ゴシック" w:eastAsia="ＭＳ ゴシック"/>
                <w:color w:val="auto"/>
              </w:rPr>
              <w:t>項目</w:t>
            </w:r>
          </w:p>
        </w:tc>
      </w:tr>
      <w:tr>
        <w:trPr>
          <w:trHeight w:val="690" w:hRule="atLeast"/>
        </w:trPr>
        <w:tc>
          <w:tcPr>
            <w:tcW w:w="3565"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公衆</w:t>
            </w:r>
            <w:r>
              <w:rPr>
                <w:rFonts w:hint="eastAsia" w:ascii="ＭＳ ゴシック" w:hAnsi="ＭＳ ゴシック" w:eastAsia="ＭＳ ゴシック"/>
                <w:color w:val="auto"/>
              </w:rPr>
              <w:t>wi-fi</w:t>
            </w:r>
            <w:r>
              <w:rPr>
                <w:rFonts w:hint="eastAsia" w:ascii="ＭＳ ゴシック" w:hAnsi="ＭＳ ゴシック" w:eastAsia="ＭＳ ゴシック"/>
                <w:color w:val="auto"/>
              </w:rPr>
              <w:t>設置</w:t>
            </w:r>
          </w:p>
        </w:tc>
        <w:tc>
          <w:tcPr>
            <w:tcW w:w="1050" w:type="dxa"/>
            <w:vAlign w:val="top"/>
          </w:tcPr>
          <w:p>
            <w:pPr>
              <w:pStyle w:val="0"/>
              <w:rPr>
                <w:rFonts w:hint="eastAsia" w:ascii="ＭＳ ゴシック" w:hAnsi="ＭＳ ゴシック" w:eastAsia="ＭＳ ゴシック"/>
                <w:color w:val="auto"/>
              </w:rPr>
            </w:pPr>
            <w:r>
              <w:rPr>
                <w:rFonts w:hint="eastAsia"/>
              </w:rPr>
              <mc:AlternateContent>
                <mc:Choice Requires="wpg">
                  <w:drawing>
                    <wp:anchor simplePos="0" relativeHeight="96" behindDoc="0" locked="0" layoutInCell="1" hidden="0" allowOverlap="1">
                      <wp:simplePos x="0" y="0"/>
                      <wp:positionH relativeFrom="column">
                        <wp:posOffset>-29845</wp:posOffset>
                      </wp:positionH>
                      <wp:positionV relativeFrom="paragraph">
                        <wp:posOffset>76835</wp:posOffset>
                      </wp:positionV>
                      <wp:extent cx="3282950" cy="295275"/>
                      <wp:effectExtent l="635" t="635" r="29845" b="10795"/>
                      <wp:wrapNone/>
                      <wp:docPr id="1141" name="オブジェクト 0"/>
                      <a:graphic xmlns:a="http://schemas.openxmlformats.org/drawingml/2006/main">
                        <a:graphicData uri="http://schemas.microsoft.com/office/word/2010/wordprocessingGroup">
                          <wpg:wgp>
                            <wpg:cNvGrpSpPr/>
                            <wpg:grpSpPr>
                              <a:xfrm>
                                <a:off x="0" y="0"/>
                                <a:ext cx="3282950" cy="295275"/>
                                <a:chOff x="5783" y="10575"/>
                                <a:chExt cx="4087" cy="463"/>
                              </a:xfrm>
                            </wpg:grpSpPr>
                            <wps:wsp>
                              <wps:cNvPr id="1142"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43" name="オブジェクト 0"/>
                              <wps:cNvSpPr txBox="1"/>
                              <wps:spPr>
                                <a:xfrm>
                                  <a:off x="5867" y="10608"/>
                                  <a:ext cx="3673"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設置箇所の拡大</w:t>
                                    </w:r>
                                  </w:p>
                                </w:txbxContent>
                              </wps:txbx>
                              <wps:bodyPr vertOverflow="overflow" horzOverflow="overflow" wrap="square" lIns="74295" tIns="8890" rIns="74295" bIns="8890"/>
                            </wps:wsp>
                          </wpg:wgp>
                        </a:graphicData>
                      </a:graphic>
                    </wp:anchor>
                  </w:drawing>
                </mc:Choice>
                <mc:Fallback>
                  <w:pict>
                    <v:group id="オブジェクト 0" style="margin-top:6.05pt;mso-position-vertical-relative:text;mso-position-horizontal-relative:text;position:absolute;height:23.25pt;width:258.5pt;margin-left:-2.35pt;z-index:96;" coordsize="4087,463" coordorigin="5783,10575" o:spid="_x0000_s1141"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42"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3;top:10608;left:5867;position:absolute;" o:spid="_x0000_s1143"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設置箇所の拡大</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929" w:type="dxa"/>
            <w:vAlign w:val="top"/>
          </w:tcPr>
          <w:p>
            <w:pPr>
              <w:pStyle w:val="0"/>
              <w:rPr>
                <w:rFonts w:hint="eastAsia" w:ascii="ＭＳ ゴシック" w:hAnsi="ＭＳ ゴシック" w:eastAsia="ＭＳ ゴシック"/>
                <w:color w:val="auto"/>
              </w:rPr>
            </w:pPr>
          </w:p>
        </w:tc>
      </w:tr>
      <w:tr>
        <w:trPr>
          <w:trHeight w:val="710" w:hRule="atLeast"/>
        </w:trPr>
        <w:tc>
          <w:tcPr>
            <w:tcW w:w="3565"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ローカル</w:t>
            </w:r>
            <w:r>
              <w:rPr>
                <w:rFonts w:hint="eastAsia" w:ascii="ＭＳ ゴシック" w:hAnsi="ＭＳ ゴシック" w:eastAsia="ＭＳ ゴシック"/>
                <w:color w:val="auto"/>
              </w:rPr>
              <w:t>5G</w:t>
            </w:r>
            <w:r>
              <w:rPr>
                <w:rFonts w:hint="eastAsia" w:ascii="ＭＳ ゴシック" w:hAnsi="ＭＳ ゴシック" w:eastAsia="ＭＳ ゴシック"/>
                <w:color w:val="auto"/>
              </w:rPr>
              <w:t>活用</w:t>
            </w:r>
          </w:p>
        </w:tc>
        <w:tc>
          <w:tcPr>
            <w:tcW w:w="1050" w:type="dxa"/>
            <w:vAlign w:val="top"/>
          </w:tcPr>
          <w:p>
            <w:pPr>
              <w:pStyle w:val="0"/>
              <w:rPr>
                <w:rFonts w:hint="eastAsia" w:ascii="ＭＳ ゴシック" w:hAnsi="ＭＳ ゴシック" w:eastAsia="ＭＳ ゴシック"/>
                <w:color w:val="auto"/>
              </w:rPr>
            </w:pPr>
            <w:r>
              <w:rPr>
                <w:rFonts w:hint="eastAsia"/>
                <w:color w:val="auto"/>
              </w:rPr>
              <mc:AlternateContent>
                <mc:Choice Requires="wpg">
                  <w:drawing>
                    <wp:anchor simplePos="0" relativeHeight="102" behindDoc="0" locked="0" layoutInCell="1" hidden="0" allowOverlap="1">
                      <wp:simplePos x="0" y="0"/>
                      <wp:positionH relativeFrom="column">
                        <wp:posOffset>666750</wp:posOffset>
                      </wp:positionH>
                      <wp:positionV relativeFrom="paragraph">
                        <wp:posOffset>89535</wp:posOffset>
                      </wp:positionV>
                      <wp:extent cx="2571750" cy="294005"/>
                      <wp:effectExtent l="635" t="635" r="29845" b="10795"/>
                      <wp:wrapNone/>
                      <wp:docPr id="1144" name="オブジェクト 0"/>
                      <a:graphic xmlns:a="http://schemas.openxmlformats.org/drawingml/2006/main">
                        <a:graphicData uri="http://schemas.microsoft.com/office/word/2010/wordprocessingGroup">
                          <wpg:wgp>
                            <wpg:cNvGrpSpPr/>
                            <wpg:grpSpPr>
                              <a:xfrm>
                                <a:off x="0" y="0"/>
                                <a:ext cx="2571750" cy="294005"/>
                                <a:chOff x="5783" y="10575"/>
                                <a:chExt cx="4087" cy="463"/>
                              </a:xfrm>
                            </wpg:grpSpPr>
                            <wps:wsp>
                              <wps:cNvPr id="1145"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46"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argin-top:7.05pt;mso-position-vertical-relative:text;mso-position-horizontal-relative:text;position:absolute;height:23.15pt;width:202.5pt;margin-left:52.5pt;z-index:102;" coordsize="4087,463" coordorigin="5783,10575" o:spid="_x0000_s1144"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45"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146"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r>
              <w:rPr>
                <w:rFonts w:hint="eastAsia"/>
                <w:color w:val="auto"/>
              </w:rPr>
              <mc:AlternateContent>
                <mc:Choice Requires="wpg">
                  <w:drawing>
                    <wp:anchor simplePos="0" relativeHeight="99" behindDoc="0" locked="0" layoutInCell="1" hidden="0" allowOverlap="1">
                      <wp:simplePos x="0" y="0"/>
                      <wp:positionH relativeFrom="column">
                        <wp:posOffset>-20955</wp:posOffset>
                      </wp:positionH>
                      <wp:positionV relativeFrom="paragraph">
                        <wp:posOffset>89535</wp:posOffset>
                      </wp:positionV>
                      <wp:extent cx="593725" cy="294005"/>
                      <wp:effectExtent l="635" t="635" r="29845" b="10795"/>
                      <wp:wrapNone/>
                      <wp:docPr id="1147" name="オブジェクト 0"/>
                      <a:graphic xmlns:a="http://schemas.openxmlformats.org/drawingml/2006/main">
                        <a:graphicData uri="http://schemas.microsoft.com/office/word/2010/wordprocessingGroup">
                          <wpg:wgp>
                            <wpg:cNvGrpSpPr/>
                            <wpg:grpSpPr>
                              <a:xfrm>
                                <a:off x="0" y="0"/>
                                <a:ext cx="593725" cy="294005"/>
                                <a:chOff x="5783" y="10575"/>
                                <a:chExt cx="4087" cy="463"/>
                              </a:xfrm>
                            </wpg:grpSpPr>
                            <wps:wsp>
                              <wps:cNvPr id="1148"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49" name="オブジェクト 0"/>
                              <wps:cNvSpPr txBox="1"/>
                              <wps:spPr>
                                <a:xfrm>
                                  <a:off x="5867" y="10608"/>
                                  <a:ext cx="3676"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実証</w:t>
                                    </w:r>
                                  </w:p>
                                </w:txbxContent>
                              </wps:txbx>
                              <wps:bodyPr vertOverflow="overflow" horzOverflow="overflow" wrap="square" lIns="74295" tIns="8890" rIns="74295" bIns="8890"/>
                            </wps:wsp>
                          </wpg:wgp>
                        </a:graphicData>
                      </a:graphic>
                    </wp:anchor>
                  </w:drawing>
                </mc:Choice>
                <mc:Fallback>
                  <w:pict>
                    <v:group id="オブジェクト 0" style="margin-top:7.05pt;mso-position-vertical-relative:text;mso-position-horizontal-relative:text;position:absolute;height:23.15pt;width:46.75pt;margin-left:-1.65pt;z-index:99;" coordsize="4087,463" coordorigin="5783,10575" o:spid="_x0000_s1147"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48"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6;top:10608;left:5867;position:absolute;" o:spid="_x0000_s1149"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実証</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929" w:type="dxa"/>
            <w:vAlign w:val="top"/>
          </w:tcPr>
          <w:p>
            <w:pPr>
              <w:pStyle w:val="0"/>
              <w:rPr>
                <w:rFonts w:hint="eastAsia" w:ascii="ＭＳ ゴシック" w:hAnsi="ＭＳ ゴシック" w:eastAsia="ＭＳ ゴシック"/>
                <w:color w:val="auto"/>
              </w:rPr>
            </w:pPr>
          </w:p>
        </w:tc>
      </w:tr>
      <w:tr>
        <w:trPr>
          <w:trHeight w:val="618" w:hRule="atLeast"/>
        </w:trPr>
        <w:tc>
          <w:tcPr>
            <w:tcW w:w="3565"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ドローン活用</w:t>
            </w:r>
          </w:p>
        </w:tc>
        <w:tc>
          <w:tcPr>
            <w:tcW w:w="1050" w:type="dxa"/>
            <w:vAlign w:val="top"/>
          </w:tcPr>
          <w:p>
            <w:pPr>
              <w:pStyle w:val="0"/>
              <w:rPr>
                <w:rFonts w:hint="eastAsia" w:ascii="ＭＳ ゴシック" w:hAnsi="ＭＳ ゴシック" w:eastAsia="ＭＳ ゴシック"/>
                <w:color w:val="auto"/>
              </w:rPr>
            </w:pPr>
            <w:r>
              <w:rPr>
                <w:rFonts w:hint="eastAsia"/>
                <w:color w:val="auto"/>
              </w:rPr>
              <mc:AlternateContent>
                <mc:Choice Requires="wpg">
                  <w:drawing>
                    <wp:anchor simplePos="0" relativeHeight="108" behindDoc="0" locked="0" layoutInCell="1" hidden="0" allowOverlap="1">
                      <wp:simplePos x="0" y="0"/>
                      <wp:positionH relativeFrom="column">
                        <wp:posOffset>1333500</wp:posOffset>
                      </wp:positionH>
                      <wp:positionV relativeFrom="paragraph">
                        <wp:posOffset>47625</wp:posOffset>
                      </wp:positionV>
                      <wp:extent cx="1893570" cy="295275"/>
                      <wp:effectExtent l="635" t="635" r="29845" b="10795"/>
                      <wp:wrapNone/>
                      <wp:docPr id="1150" name="オブジェクト 0"/>
                      <a:graphic xmlns:a="http://schemas.openxmlformats.org/drawingml/2006/main">
                        <a:graphicData uri="http://schemas.microsoft.com/office/word/2010/wordprocessingGroup">
                          <wpg:wgp>
                            <wpg:cNvGrpSpPr/>
                            <wpg:grpSpPr>
                              <a:xfrm>
                                <a:off x="0" y="0"/>
                                <a:ext cx="1893570" cy="295275"/>
                                <a:chOff x="5783" y="10575"/>
                                <a:chExt cx="4087" cy="463"/>
                              </a:xfrm>
                            </wpg:grpSpPr>
                            <wps:wsp>
                              <wps:cNvPr id="1151"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52" name="オブジェクト 0"/>
                              <wps:cNvSpPr txBox="1"/>
                              <wps:spPr>
                                <a:xfrm>
                                  <a:off x="5867" y="10608"/>
                                  <a:ext cx="3673"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argin-top:3.75pt;mso-position-vertical-relative:text;mso-position-horizontal-relative:text;position:absolute;height:23.25pt;width:149.1pt;margin-left:105pt;z-index:108;" coordsize="4087,463" coordorigin="5783,10575" o:spid="_x0000_s1150"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51"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3;top:10608;left:5867;position:absolute;" o:spid="_x0000_s1152"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r>
              <w:rPr>
                <w:rFonts w:hint="eastAsia"/>
                <w:color w:val="auto"/>
              </w:rPr>
              <mc:AlternateContent>
                <mc:Choice Requires="wpg">
                  <w:drawing>
                    <wp:anchor simplePos="0" relativeHeight="105" behindDoc="0" locked="0" layoutInCell="1" hidden="0" allowOverlap="1">
                      <wp:simplePos x="0" y="0"/>
                      <wp:positionH relativeFrom="column">
                        <wp:posOffset>-20955</wp:posOffset>
                      </wp:positionH>
                      <wp:positionV relativeFrom="paragraph">
                        <wp:posOffset>47625</wp:posOffset>
                      </wp:positionV>
                      <wp:extent cx="1237615" cy="295275"/>
                      <wp:effectExtent l="635" t="635" r="29845" b="10795"/>
                      <wp:wrapNone/>
                      <wp:docPr id="1153" name="オブジェクト 0"/>
                      <a:graphic xmlns:a="http://schemas.openxmlformats.org/drawingml/2006/main">
                        <a:graphicData uri="http://schemas.microsoft.com/office/word/2010/wordprocessingGroup">
                          <wpg:wgp>
                            <wpg:cNvGrpSpPr/>
                            <wpg:grpSpPr>
                              <a:xfrm>
                                <a:off x="0" y="0"/>
                                <a:ext cx="1237615" cy="295275"/>
                                <a:chOff x="5783" y="10575"/>
                                <a:chExt cx="4087" cy="463"/>
                              </a:xfrm>
                            </wpg:grpSpPr>
                            <wps:wsp>
                              <wps:cNvPr id="1154"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55" name="オブジェクト 0"/>
                              <wps:cNvSpPr txBox="1"/>
                              <wps:spPr>
                                <a:xfrm>
                                  <a:off x="5867" y="10608"/>
                                  <a:ext cx="3676"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argin-top:3.75pt;mso-position-vertical-relative:text;mso-position-horizontal-relative:text;position:absolute;height:23.25pt;width:97.45pt;margin-left:-1.65pt;z-index:105;" coordsize="4087,463" coordorigin="5783,10575" o:spid="_x0000_s1153"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54"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6;top:10608;left:5867;position:absolute;" o:spid="_x0000_s1155"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1050" w:type="dxa"/>
            <w:vAlign w:val="top"/>
          </w:tcPr>
          <w:p>
            <w:pPr>
              <w:pStyle w:val="0"/>
              <w:rPr>
                <w:rFonts w:hint="eastAsia" w:ascii="ＭＳ ゴシック" w:hAnsi="ＭＳ ゴシック" w:eastAsia="ＭＳ ゴシック"/>
                <w:color w:val="auto"/>
              </w:rPr>
            </w:pPr>
          </w:p>
        </w:tc>
        <w:tc>
          <w:tcPr>
            <w:tcW w:w="929"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R4</w:t>
            </w:r>
            <w:r>
              <w:rPr>
                <w:rFonts w:hint="eastAsia" w:ascii="ＭＳ ゴシック" w:hAnsi="ＭＳ ゴシック" w:eastAsia="ＭＳ ゴシック"/>
                <w:color w:val="auto"/>
              </w:rPr>
              <w:t>末</w:t>
            </w:r>
          </w:p>
        </w:tc>
      </w:tr>
    </w:tbl>
    <w:p>
      <w:pPr>
        <w:pStyle w:val="0"/>
        <w:ind w:leftChars="0" w:firstLineChars="0"/>
        <w:rPr>
          <w:rFonts w:hint="eastAsia" w:ascii="ＭＳ ゴシック" w:hAnsi="ＭＳ ゴシック" w:eastAsia="ＭＳ ゴシック"/>
          <w:color w:val="auto"/>
          <w:sz w:val="22"/>
        </w:rPr>
      </w:pPr>
    </w:p>
    <w:p>
      <w:pPr>
        <w:pStyle w:val="0"/>
        <w:ind w:leftChars="0" w:firstLineChars="0"/>
        <w:rPr>
          <w:rFonts w:hint="eastAsia" w:ascii="ＭＳ ゴシック" w:hAnsi="ＭＳ ゴシック" w:eastAsia="ＭＳ ゴシック"/>
          <w:color w:val="auto"/>
          <w:sz w:val="22"/>
        </w:rPr>
      </w:pPr>
      <w:r>
        <w:rPr>
          <w:rFonts w:hint="eastAsia"/>
          <w:color w:val="auto"/>
        </w:rPr>
        <w:br w:type="page"/>
      </w:r>
    </w:p>
    <w:p>
      <w:pPr>
        <w:pStyle w:val="1"/>
        <w:ind w:left="0" w:leftChars="0" w:firstLine="0" w:firstLineChars="0"/>
        <w:rPr>
          <w:rFonts w:hint="eastAsia" w:ascii="ＭＳ ゴシック" w:hAnsi="ＭＳ ゴシック" w:eastAsia="ＭＳ ゴシック"/>
          <w:color w:val="auto"/>
          <w:sz w:val="22"/>
        </w:rPr>
      </w:pPr>
      <w:bookmarkStart w:id="554" w:name="_Toc4621"/>
      <w:bookmarkStart w:id="555" w:name="_Toc4668"/>
      <w:bookmarkStart w:id="556" w:name="_Toc7575"/>
      <w:r>
        <w:rPr>
          <w:rFonts w:hint="eastAsia" w:ascii="ＭＳ ゴシック" w:hAnsi="ＭＳ ゴシック" w:eastAsia="ＭＳ ゴシック"/>
          <w:color w:val="auto"/>
          <w:sz w:val="28"/>
        </w:rPr>
        <w:t>【用語集】</w:t>
      </w:r>
      <w:bookmarkEnd w:id="554"/>
      <w:bookmarkEnd w:id="555"/>
      <w:bookmarkEnd w:id="556"/>
    </w:p>
    <w:tbl>
      <w:tblPr>
        <w:tblStyle w:val="11"/>
        <w:tblW w:w="964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3135"/>
        <w:gridCol w:w="6510"/>
      </w:tblGrid>
      <w:tr>
        <w:trPr>
          <w:trHeight w:val="90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2040</w:t>
            </w:r>
            <w:r>
              <w:rPr>
                <w:rFonts w:hint="default" w:ascii="ＭＳ ゴシック" w:hAnsi="ＭＳ ゴシック" w:eastAsia="ＭＳ ゴシック"/>
                <w:b w:val="0"/>
                <w:i w:val="0"/>
                <w:smallCaps w:val="0"/>
                <w:sz w:val="22"/>
              </w:rPr>
              <w:t>年問題</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少子化による急速な人口減少と団塊ジュニア世代が高齢者（</w:t>
            </w:r>
            <w:r>
              <w:rPr>
                <w:rFonts w:hint="default" w:ascii="ＭＳ ゴシック" w:hAnsi="ＭＳ ゴシック" w:eastAsia="ＭＳ ゴシック"/>
                <w:b w:val="0"/>
                <w:i w:val="0"/>
                <w:smallCaps w:val="0"/>
                <w:sz w:val="22"/>
              </w:rPr>
              <w:t>65</w:t>
            </w:r>
            <w:r>
              <w:rPr>
                <w:rFonts w:hint="default" w:ascii="ＭＳ ゴシック" w:hAnsi="ＭＳ ゴシック" w:eastAsia="ＭＳ ゴシック"/>
                <w:b w:val="0"/>
                <w:i w:val="0"/>
                <w:smallCaps w:val="0"/>
                <w:sz w:val="22"/>
              </w:rPr>
              <w:t>歳以上）になることで高齢者人口が最大となる</w:t>
            </w:r>
            <w:r>
              <w:rPr>
                <w:rFonts w:hint="default" w:ascii="ＭＳ ゴシック" w:hAnsi="ＭＳ ゴシック" w:eastAsia="ＭＳ ゴシック"/>
                <w:b w:val="0"/>
                <w:i w:val="0"/>
                <w:smallCaps w:val="0"/>
                <w:sz w:val="22"/>
              </w:rPr>
              <w:t>2040</w:t>
            </w:r>
            <w:r>
              <w:rPr>
                <w:rFonts w:hint="default" w:ascii="ＭＳ ゴシック" w:hAnsi="ＭＳ ゴシック" w:eastAsia="ＭＳ ゴシック"/>
                <w:b w:val="0"/>
                <w:i w:val="0"/>
                <w:smallCaps w:val="0"/>
                <w:sz w:val="22"/>
              </w:rPr>
              <w:t>年頃に、日本社会が直面すると予測されている内政上の危機。</w:t>
            </w:r>
          </w:p>
        </w:tc>
      </w:tr>
      <w:tr>
        <w:trPr>
          <w:trHeight w:val="35"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5G</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超高速、超低遅延、多数同時接続といった新たな機能を持つ次世代の移動通信。</w:t>
            </w:r>
          </w:p>
        </w:tc>
      </w:tr>
      <w:tr>
        <w:trPr>
          <w:trHeight w:val="472"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AI</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 xml:space="preserve">Artificial Intelligence </w:t>
            </w:r>
            <w:r>
              <w:rPr>
                <w:rFonts w:hint="default" w:ascii="ＭＳ ゴシック" w:hAnsi="ＭＳ ゴシック" w:eastAsia="ＭＳ ゴシック"/>
                <w:b w:val="0"/>
                <w:i w:val="0"/>
                <w:smallCaps w:val="0"/>
                <w:sz w:val="22"/>
              </w:rPr>
              <w:t>の略。人工的な方法による学習、推論、判断等の知的な機能の実現及び人工的な方法により実現した当該機能の活用に関する技術。</w:t>
            </w:r>
          </w:p>
        </w:tc>
      </w:tr>
      <w:tr>
        <w:trPr>
          <w:trHeight w:val="168"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AI-OCR</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AI</w:t>
            </w:r>
            <w:r>
              <w:rPr>
                <w:rFonts w:hint="default" w:ascii="ＭＳ ゴシック" w:hAnsi="ＭＳ ゴシック" w:eastAsia="ＭＳ ゴシック"/>
                <w:b w:val="0"/>
                <w:i w:val="0"/>
                <w:smallCaps w:val="0"/>
                <w:sz w:val="22"/>
              </w:rPr>
              <w:t>（人工知能）技術を取り入れた光学文字認識機能（</w:t>
            </w:r>
            <w:r>
              <w:rPr>
                <w:rFonts w:hint="default" w:ascii="ＭＳ ゴシック" w:hAnsi="ＭＳ ゴシック" w:eastAsia="ＭＳ ゴシック"/>
                <w:b w:val="0"/>
                <w:i w:val="0"/>
                <w:smallCaps w:val="0"/>
                <w:sz w:val="22"/>
              </w:rPr>
              <w:t>OCR</w:t>
            </w:r>
            <w:r>
              <w:rPr>
                <w:rFonts w:hint="default" w:ascii="ＭＳ ゴシック" w:hAnsi="ＭＳ ゴシック" w:eastAsia="ＭＳ ゴシック"/>
                <w:b w:val="0"/>
                <w:i w:val="0"/>
                <w:smallCaps w:val="0"/>
                <w:sz w:val="22"/>
              </w:rPr>
              <w:t>）で紙の文字をデジタル文字に変換するもの。</w:t>
            </w:r>
          </w:p>
        </w:tc>
      </w:tr>
      <w:tr>
        <w:trPr>
          <w:trHeight w:val="224"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AR</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Augmented Reality</w:t>
            </w:r>
            <w:r>
              <w:rPr>
                <w:rFonts w:hint="default" w:ascii="ＭＳ ゴシック" w:hAnsi="ＭＳ ゴシック" w:eastAsia="ＭＳ ゴシック"/>
                <w:b w:val="0"/>
                <w:i w:val="0"/>
                <w:smallCaps w:val="0"/>
                <w:sz w:val="22"/>
              </w:rPr>
              <w:t>の略。拡張現実のこと。コンピュータを使って、現実の風景の中に情報を重ねて表示する。</w:t>
            </w:r>
          </w:p>
        </w:tc>
      </w:tr>
      <w:tr>
        <w:trPr>
          <w:trHeight w:val="82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BPR</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Business Process Re-engineering</w:t>
            </w:r>
            <w:r>
              <w:rPr>
                <w:rFonts w:hint="default" w:ascii="ＭＳ ゴシック" w:hAnsi="ＭＳ ゴシック" w:eastAsia="ＭＳ ゴシック"/>
                <w:b w:val="0"/>
                <w:i w:val="0"/>
                <w:smallCaps w:val="0"/>
                <w:sz w:val="22"/>
              </w:rPr>
              <w:t>の略。業務改革。自治体や企業の目標や目的を達成するために、適切な組織構造、業務フローに再構築すること。</w:t>
            </w:r>
          </w:p>
        </w:tc>
      </w:tr>
      <w:tr>
        <w:trPr>
          <w:trHeight w:val="516"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DX</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デジタル・トランスフォーメーションの略。制度や組織の在り方</w:t>
            </w:r>
            <w:r>
              <w:rPr>
                <w:rFonts w:hint="default" w:ascii="ＭＳ ゴシック" w:hAnsi="ＭＳ ゴシック" w:eastAsia="ＭＳ ゴシック"/>
                <w:b w:val="0"/>
                <w:i w:val="0"/>
                <w:smallCaps w:val="0"/>
                <w:sz w:val="22"/>
              </w:rPr>
              <w:br w:type="textWrapping" w:clear="none"/>
            </w:r>
            <w:r>
              <w:rPr>
                <w:rFonts w:hint="default" w:ascii="ＭＳ ゴシック" w:hAnsi="ＭＳ ゴシック" w:eastAsia="ＭＳ ゴシック"/>
                <w:b w:val="0"/>
                <w:i w:val="0"/>
                <w:smallCaps w:val="0"/>
                <w:sz w:val="22"/>
              </w:rPr>
              <w:t>等をデジタル化に合わせて変革していくこと。</w:t>
            </w:r>
          </w:p>
        </w:tc>
      </w:tr>
      <w:tr>
        <w:trPr>
          <w:trHeight w:val="302"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EBPM</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Evidence-Based Policy Making</w:t>
            </w:r>
            <w:r>
              <w:rPr>
                <w:rFonts w:hint="default" w:ascii="ＭＳ ゴシック" w:hAnsi="ＭＳ ゴシック" w:eastAsia="ＭＳ ゴシック"/>
                <w:b w:val="0"/>
                <w:i w:val="0"/>
                <w:smallCaps w:val="0"/>
                <w:sz w:val="22"/>
              </w:rPr>
              <w:t>の略。統計や業務データなどの客観的な証拠に基づく政策立案</w:t>
            </w:r>
            <w:r>
              <w:rPr>
                <w:rFonts w:hint="default" w:ascii="ＭＳ ゴシック" w:hAnsi="ＭＳ ゴシック" w:eastAsia="ＭＳ ゴシック"/>
                <w:b w:val="0"/>
                <w:i w:val="0"/>
                <w:smallCaps w:val="0"/>
                <w:sz w:val="22"/>
              </w:rPr>
              <w:t xml:space="preserve"> </w:t>
            </w:r>
            <w:r>
              <w:rPr>
                <w:rFonts w:hint="default" w:ascii="ＭＳ ゴシック" w:hAnsi="ＭＳ ゴシック" w:eastAsia="ＭＳ ゴシック"/>
                <w:b w:val="0"/>
                <w:i w:val="0"/>
                <w:smallCaps w:val="0"/>
                <w:sz w:val="22"/>
              </w:rPr>
              <w:t>。</w:t>
            </w:r>
          </w:p>
        </w:tc>
      </w:tr>
      <w:tr>
        <w:trPr>
          <w:trHeight w:val="538"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ICT</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eastAsia" w:ascii="ＭＳ ゴシック" w:hAnsi="ＭＳ ゴシック" w:eastAsia="ＭＳ ゴシック"/>
                <w:b w:val="0"/>
                <w:i w:val="0"/>
                <w:smallCaps w:val="0"/>
                <w:sz w:val="22"/>
              </w:rPr>
              <w:t>情報通信技術。</w:t>
            </w:r>
            <w:r>
              <w:rPr>
                <w:rFonts w:hint="default" w:ascii="ＭＳ ゴシック" w:hAnsi="ＭＳ ゴシック" w:eastAsia="ＭＳ ゴシック"/>
                <w:b w:val="0"/>
                <w:i w:val="0"/>
                <w:smallCaps w:val="0"/>
                <w:sz w:val="22"/>
              </w:rPr>
              <w:t>コンピュータなどのデジタル機器や通信ネットワークなどを組み合わせた情報システムやサービス。</w:t>
            </w:r>
          </w:p>
        </w:tc>
      </w:tr>
      <w:tr>
        <w:trPr>
          <w:trHeight w:val="45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IoT</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Internet of Things</w:t>
            </w:r>
            <w:r>
              <w:rPr>
                <w:rFonts w:hint="default" w:ascii="ＭＳ ゴシック" w:hAnsi="ＭＳ ゴシック" w:eastAsia="ＭＳ ゴシック"/>
                <w:b w:val="0"/>
                <w:i w:val="0"/>
                <w:smallCaps w:val="0"/>
                <w:sz w:val="22"/>
              </w:rPr>
              <w:t>の略。世の中に存在する様々な物体（モノ）に通信機能を持たせ、インターネットに接続したり、相互に通信することにより、自動認識や自動制御、遠隔計測などを行うこと。</w:t>
            </w:r>
          </w:p>
        </w:tc>
      </w:tr>
      <w:tr>
        <w:trPr>
          <w:trHeight w:val="90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JPQR</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PayPay</w:t>
            </w:r>
            <w:r>
              <w:rPr>
                <w:rFonts w:hint="default" w:ascii="ＭＳ ゴシック" w:hAnsi="ＭＳ ゴシック" w:eastAsia="ＭＳ ゴシック"/>
                <w:b w:val="0"/>
                <w:i w:val="0"/>
                <w:smallCaps w:val="0"/>
                <w:sz w:val="22"/>
              </w:rPr>
              <w:t>や</w:t>
            </w:r>
            <w:r>
              <w:rPr>
                <w:rFonts w:hint="default" w:ascii="ＭＳ ゴシック" w:hAnsi="ＭＳ ゴシック" w:eastAsia="ＭＳ ゴシック"/>
                <w:b w:val="0"/>
                <w:i w:val="0"/>
                <w:smallCaps w:val="0"/>
                <w:sz w:val="22"/>
              </w:rPr>
              <w:t>LINEPay</w:t>
            </w:r>
            <w:r>
              <w:rPr>
                <w:rFonts w:hint="default" w:ascii="ＭＳ ゴシック" w:hAnsi="ＭＳ ゴシック" w:eastAsia="ＭＳ ゴシック"/>
                <w:b w:val="0"/>
                <w:i w:val="0"/>
                <w:smallCaps w:val="0"/>
                <w:sz w:val="22"/>
              </w:rPr>
              <w:t>など様々な</w:t>
            </w:r>
            <w:r>
              <w:rPr>
                <w:rFonts w:hint="default" w:ascii="ＭＳ ゴシック" w:hAnsi="ＭＳ ゴシック" w:eastAsia="ＭＳ ゴシック"/>
                <w:b w:val="0"/>
                <w:i w:val="0"/>
                <w:smallCaps w:val="0"/>
                <w:sz w:val="22"/>
              </w:rPr>
              <w:t>QR</w:t>
            </w:r>
            <w:r>
              <w:rPr>
                <w:rFonts w:hint="default" w:ascii="ＭＳ ゴシック" w:hAnsi="ＭＳ ゴシック" w:eastAsia="ＭＳ ゴシック"/>
                <w:b w:val="0"/>
                <w:i w:val="0"/>
                <w:smallCaps w:val="0"/>
                <w:sz w:val="22"/>
              </w:rPr>
              <w:t>コードを店頭に一つの統一</w:t>
            </w:r>
            <w:r>
              <w:rPr>
                <w:rFonts w:hint="default" w:ascii="ＭＳ ゴシック" w:hAnsi="ＭＳ ゴシック" w:eastAsia="ＭＳ ゴシック"/>
                <w:b w:val="0"/>
                <w:i w:val="0"/>
                <w:smallCaps w:val="0"/>
                <w:sz w:val="22"/>
              </w:rPr>
              <w:t>QR</w:t>
            </w:r>
            <w:r>
              <w:rPr>
                <w:rFonts w:hint="default" w:ascii="ＭＳ ゴシック" w:hAnsi="ＭＳ ゴシック" w:eastAsia="ＭＳ ゴシック"/>
                <w:b w:val="0"/>
                <w:i w:val="0"/>
                <w:smallCaps w:val="0"/>
                <w:sz w:val="22"/>
              </w:rPr>
              <w:t>コードを置くだけで複数の</w:t>
            </w:r>
            <w:r>
              <w:rPr>
                <w:rFonts w:hint="default" w:ascii="ＭＳ ゴシック" w:hAnsi="ＭＳ ゴシック" w:eastAsia="ＭＳ ゴシック"/>
                <w:b w:val="0"/>
                <w:i w:val="0"/>
                <w:smallCaps w:val="0"/>
                <w:sz w:val="22"/>
              </w:rPr>
              <w:t>QR</w:t>
            </w:r>
            <w:r>
              <w:rPr>
                <w:rFonts w:hint="default" w:ascii="ＭＳ ゴシック" w:hAnsi="ＭＳ ゴシック" w:eastAsia="ＭＳ ゴシック"/>
                <w:b w:val="0"/>
                <w:i w:val="0"/>
                <w:smallCaps w:val="0"/>
                <w:sz w:val="22"/>
              </w:rPr>
              <w:t>コード決済に対応できるもの。店舗のみでなく、自治体の公共施設や窓口での使用料・手数料の取り扱いも可能。</w:t>
            </w:r>
          </w:p>
        </w:tc>
      </w:tr>
      <w:tr>
        <w:trPr>
          <w:trHeight w:val="416"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RPA</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Robotics Process Automation</w:t>
            </w:r>
            <w:r>
              <w:rPr>
                <w:rFonts w:hint="default" w:ascii="ＭＳ ゴシック" w:hAnsi="ＭＳ ゴシック" w:eastAsia="ＭＳ ゴシック"/>
                <w:b w:val="0"/>
                <w:i w:val="0"/>
                <w:smallCaps w:val="0"/>
                <w:sz w:val="22"/>
              </w:rPr>
              <w:t>の略。人間が行ってきた定型的なパソコン操作をソフトウエアのロボットにより自動化するもの。</w:t>
            </w:r>
          </w:p>
        </w:tc>
      </w:tr>
      <w:tr>
        <w:trPr>
          <w:trHeight w:val="35"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SNS</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ソーシャル・ネットワーキング・サービスの略。個人間のコミュニケーションを促進し、社会的なネットワークの構築を支援するインターネットを利用したサービスをいう。</w:t>
            </w:r>
          </w:p>
        </w:tc>
      </w:tr>
      <w:tr>
        <w:trPr>
          <w:trHeight w:val="1788"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Society5.0</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サイバー空間（仮想空間）とフィジカル空間（現実空間）を高度に融合させたシステムにより、経済発展と社会的課題の解決を両立する人間中心の社会（</w:t>
            </w:r>
            <w:r>
              <w:rPr>
                <w:rFonts w:hint="default" w:ascii="ＭＳ ゴシック" w:hAnsi="ＭＳ ゴシック" w:eastAsia="ＭＳ ゴシック"/>
                <w:b w:val="0"/>
                <w:i w:val="0"/>
                <w:smallCaps w:val="0"/>
                <w:sz w:val="22"/>
              </w:rPr>
              <w:t>Society</w:t>
            </w:r>
            <w:r>
              <w:rPr>
                <w:rFonts w:hint="default" w:ascii="ＭＳ ゴシック" w:hAnsi="ＭＳ ゴシック" w:eastAsia="ＭＳ ゴシック"/>
                <w:b w:val="0"/>
                <w:i w:val="0"/>
                <w:smallCaps w:val="0"/>
                <w:sz w:val="22"/>
              </w:rPr>
              <w:t>）。狩猟社会（</w:t>
            </w:r>
            <w:r>
              <w:rPr>
                <w:rFonts w:hint="default" w:ascii="ＭＳ ゴシック" w:hAnsi="ＭＳ ゴシック" w:eastAsia="ＭＳ ゴシック"/>
                <w:b w:val="0"/>
                <w:i w:val="0"/>
                <w:smallCaps w:val="0"/>
                <w:sz w:val="22"/>
              </w:rPr>
              <w:t>Society 1.0</w:t>
            </w:r>
            <w:r>
              <w:rPr>
                <w:rFonts w:hint="default" w:ascii="ＭＳ ゴシック" w:hAnsi="ＭＳ ゴシック" w:eastAsia="ＭＳ ゴシック"/>
                <w:b w:val="0"/>
                <w:i w:val="0"/>
                <w:smallCaps w:val="0"/>
                <w:sz w:val="22"/>
              </w:rPr>
              <w:t>）、農耕社会（</w:t>
            </w:r>
            <w:r>
              <w:rPr>
                <w:rFonts w:hint="default" w:ascii="ＭＳ ゴシック" w:hAnsi="ＭＳ ゴシック" w:eastAsia="ＭＳ ゴシック"/>
                <w:b w:val="0"/>
                <w:i w:val="0"/>
                <w:smallCaps w:val="0"/>
                <w:sz w:val="22"/>
              </w:rPr>
              <w:t>Society 2.0</w:t>
            </w:r>
            <w:r>
              <w:rPr>
                <w:rFonts w:hint="default" w:ascii="ＭＳ ゴシック" w:hAnsi="ＭＳ ゴシック" w:eastAsia="ＭＳ ゴシック"/>
                <w:b w:val="0"/>
                <w:i w:val="0"/>
                <w:smallCaps w:val="0"/>
                <w:sz w:val="22"/>
              </w:rPr>
              <w:t>）、工業社会（</w:t>
            </w:r>
            <w:r>
              <w:rPr>
                <w:rFonts w:hint="default" w:ascii="ＭＳ ゴシック" w:hAnsi="ＭＳ ゴシック" w:eastAsia="ＭＳ ゴシック"/>
                <w:b w:val="0"/>
                <w:i w:val="0"/>
                <w:smallCaps w:val="0"/>
                <w:sz w:val="22"/>
              </w:rPr>
              <w:t>Society 3.0</w:t>
            </w:r>
            <w:r>
              <w:rPr>
                <w:rFonts w:hint="default" w:ascii="ＭＳ ゴシック" w:hAnsi="ＭＳ ゴシック" w:eastAsia="ＭＳ ゴシック"/>
                <w:b w:val="0"/>
                <w:i w:val="0"/>
                <w:smallCaps w:val="0"/>
                <w:sz w:val="22"/>
              </w:rPr>
              <w:t>）、情報社会（</w:t>
            </w:r>
            <w:r>
              <w:rPr>
                <w:rFonts w:hint="default" w:ascii="ＭＳ ゴシック" w:hAnsi="ＭＳ ゴシック" w:eastAsia="ＭＳ ゴシック"/>
                <w:b w:val="0"/>
                <w:i w:val="0"/>
                <w:smallCaps w:val="0"/>
                <w:sz w:val="22"/>
              </w:rPr>
              <w:t>Society 4.0</w:t>
            </w:r>
            <w:r>
              <w:rPr>
                <w:rFonts w:hint="default" w:ascii="ＭＳ ゴシック" w:hAnsi="ＭＳ ゴシック" w:eastAsia="ＭＳ ゴシック"/>
                <w:b w:val="0"/>
                <w:i w:val="0"/>
                <w:smallCaps w:val="0"/>
                <w:sz w:val="22"/>
              </w:rPr>
              <w:t>）に続く、新たな社会を指す。</w:t>
            </w:r>
            <w:r>
              <w:rPr>
                <w:rFonts w:hint="default" w:ascii="ＭＳ ゴシック" w:hAnsi="ＭＳ ゴシック" w:eastAsia="ＭＳ ゴシック"/>
                <w:b w:val="0"/>
                <w:i w:val="0"/>
                <w:smallCaps w:val="0"/>
                <w:sz w:val="22"/>
              </w:rPr>
              <w:t xml:space="preserve"> </w:t>
            </w:r>
          </w:p>
        </w:tc>
      </w:tr>
      <w:tr>
        <w:trPr>
          <w:trHeight w:val="314"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VR</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Virtual Reality</w:t>
            </w:r>
            <w:r>
              <w:rPr>
                <w:rFonts w:hint="default" w:ascii="ＭＳ ゴシック" w:hAnsi="ＭＳ ゴシック" w:eastAsia="ＭＳ ゴシック"/>
                <w:b w:val="0"/>
                <w:i w:val="0"/>
                <w:smallCaps w:val="0"/>
                <w:sz w:val="22"/>
              </w:rPr>
              <w:t>の略。仮想現実のこと。コンピュータ上に人工的な環境を作り出し、その場にいるように感じられる。</w:t>
            </w:r>
          </w:p>
        </w:tc>
      </w:tr>
      <w:tr>
        <w:trPr>
          <w:trHeight w:val="54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エンドトゥエンド</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サービスやシステム間を結ぶ通信ネットワーク。</w:t>
            </w:r>
          </w:p>
        </w:tc>
      </w:tr>
      <w:tr>
        <w:trPr>
          <w:trHeight w:val="516"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オープンデータ</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誰でも自由に利用（加工・編集・再配布等）できるよう公開されたデータ。</w:t>
            </w:r>
          </w:p>
        </w:tc>
      </w:tr>
      <w:tr>
        <w:trPr>
          <w:trHeight w:val="54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オンラインストレージ</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インターネット上でファイルを共有するサービス。</w:t>
            </w:r>
          </w:p>
        </w:tc>
      </w:tr>
      <w:tr>
        <w:trPr>
          <w:trHeight w:val="35"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w:t>
            </w:r>
            <w:r>
              <w:rPr>
                <w:rFonts w:hint="default" w:ascii="ＭＳ ゴシック" w:hAnsi="ＭＳ ゴシック" w:eastAsia="ＭＳ ゴシック"/>
                <w:b w:val="0"/>
                <w:i w:val="0"/>
                <w:smallCaps w:val="0"/>
                <w:sz w:val="22"/>
              </w:rPr>
              <w:t>仮称</w:t>
            </w:r>
            <w:r>
              <w:rPr>
                <w:rFonts w:hint="default" w:ascii="ＭＳ ゴシック" w:hAnsi="ＭＳ ゴシック" w:eastAsia="ＭＳ ゴシック"/>
                <w:b w:val="0"/>
                <w:i w:val="0"/>
                <w:smallCaps w:val="0"/>
                <w:sz w:val="22"/>
              </w:rPr>
              <w:t>)Gov-Cloud</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国による共通的な基盤・機能を提供する複数のクラウドサービスの利用環境。</w:t>
            </w:r>
          </w:p>
        </w:tc>
      </w:tr>
      <w:tr>
        <w:trPr>
          <w:trHeight w:val="90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官民データ活用推進計画</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官民データ（国や地方公共団体、その他の事業者等により、管理、利用、提供されるもの）の利用環境の整備促進を図り、事務負担の軽減、地域課題の解決、住民及び事業者の利便性向上等に寄与することを目的とした計画。</w:t>
            </w:r>
          </w:p>
        </w:tc>
      </w:tr>
      <w:tr>
        <w:trPr>
          <w:trHeight w:val="1136"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行政手続きのオンライン化</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申請や届出についてインターネットなどを利用して行うこと。国の行政手続（申請及び申請に基づく処分通知）のオンライン化は原則化され、地方公共団体も必要な施策を講じるよう努めなければならないこととなっている（デジタル手続法）。</w:t>
            </w:r>
          </w:p>
        </w:tc>
      </w:tr>
      <w:tr>
        <w:trPr>
          <w:trHeight w:val="35"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クラウド環境</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データやソフトウェアを、ネットワーク経由のサービスとして利用できる仕組み。</w:t>
            </w:r>
          </w:p>
        </w:tc>
      </w:tr>
      <w:tr>
        <w:trPr>
          <w:trHeight w:val="708"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グループウエア</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ネットワークに接続されたコンピュータ同士で情報の交換や共有、スケジュール管理等の機能を提供するアプリケーション。</w:t>
            </w:r>
          </w:p>
        </w:tc>
      </w:tr>
      <w:tr>
        <w:trPr>
          <w:trHeight w:val="314"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公衆</w:t>
            </w:r>
            <w:r>
              <w:rPr>
                <w:rFonts w:hint="default" w:ascii="ＭＳ ゴシック" w:hAnsi="ＭＳ ゴシック" w:eastAsia="ＭＳ ゴシック"/>
                <w:b w:val="0"/>
                <w:i w:val="0"/>
                <w:smallCaps w:val="0"/>
                <w:sz w:val="22"/>
              </w:rPr>
              <w:t>wi-fi</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公共施設などの公用空間で、無線</w:t>
            </w:r>
            <w:r>
              <w:rPr>
                <w:rFonts w:hint="default" w:ascii="ＭＳ ゴシック" w:hAnsi="ＭＳ ゴシック" w:eastAsia="ＭＳ ゴシック"/>
                <w:b w:val="0"/>
                <w:i w:val="0"/>
                <w:smallCaps w:val="0"/>
                <w:sz w:val="22"/>
              </w:rPr>
              <w:t>LAN</w:t>
            </w:r>
            <w:r>
              <w:rPr>
                <w:rFonts w:hint="default" w:ascii="ＭＳ ゴシック" w:hAnsi="ＭＳ ゴシック" w:eastAsia="ＭＳ ゴシック"/>
                <w:b w:val="0"/>
                <w:i w:val="0"/>
                <w:smallCaps w:val="0"/>
                <w:sz w:val="22"/>
              </w:rPr>
              <w:t>等の無線アクセス機器を設置し、高速インターネット接続サービスを提供すること。</w:t>
            </w:r>
          </w:p>
        </w:tc>
      </w:tr>
      <w:tr>
        <w:trPr>
          <w:trHeight w:val="100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自治体デジタル・トランスフォーメーション（</w:t>
            </w:r>
            <w:r>
              <w:rPr>
                <w:rFonts w:hint="default" w:ascii="ＭＳ ゴシック" w:hAnsi="ＭＳ ゴシック" w:eastAsia="ＭＳ ゴシック"/>
                <w:b w:val="0"/>
                <w:i w:val="0"/>
                <w:smallCaps w:val="0"/>
                <w:sz w:val="22"/>
              </w:rPr>
              <w:t>DX</w:t>
            </w:r>
            <w:r>
              <w:rPr>
                <w:rFonts w:hint="default" w:ascii="ＭＳ ゴシック" w:hAnsi="ＭＳ ゴシック" w:eastAsia="ＭＳ ゴシック"/>
                <w:b w:val="0"/>
                <w:i w:val="0"/>
                <w:smallCaps w:val="0"/>
                <w:sz w:val="22"/>
              </w:rPr>
              <w:t>）推進計画</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「デジタル・ガバメント実行計画」における各施策について、自治体が重点的に取り組むべき事項・内容を具体化するとともに、総務省及び関係省庁による支援策等をとりまとめたもの。</w:t>
            </w:r>
          </w:p>
        </w:tc>
      </w:tr>
      <w:tr>
        <w:trPr>
          <w:trHeight w:val="35"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情報システムの標準化・共通化</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地方公共団体における情報システム等の共同利用、手続の簡素化、迅速化、行政の効率化等を推進するため、国が作成した標準仕様に準拠した基幹系システムを利用するもの。</w:t>
            </w:r>
          </w:p>
        </w:tc>
      </w:tr>
      <w:tr>
        <w:trPr>
          <w:trHeight w:val="90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スーパーシティ構想</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地域の「困った」を最先端の</w:t>
            </w:r>
            <w:r>
              <w:rPr>
                <w:rFonts w:hint="default" w:ascii="ＭＳ ゴシック" w:hAnsi="ＭＳ ゴシック" w:eastAsia="ＭＳ ゴシック"/>
                <w:b w:val="0"/>
                <w:i w:val="0"/>
                <w:smallCaps w:val="0"/>
                <w:sz w:val="22"/>
              </w:rPr>
              <w:t>J-Tech</w:t>
            </w:r>
            <w:r>
              <w:rPr>
                <w:rFonts w:hint="default" w:ascii="ＭＳ ゴシック" w:hAnsi="ＭＳ ゴシック" w:eastAsia="ＭＳ ゴシック"/>
                <w:b w:val="0"/>
                <w:i w:val="0"/>
                <w:smallCaps w:val="0"/>
                <w:sz w:val="22"/>
              </w:rPr>
              <w:t>（世界に誇る</w:t>
            </w:r>
            <w:r>
              <w:rPr>
                <w:rFonts w:hint="default" w:ascii="ＭＳ ゴシック" w:hAnsi="ＭＳ ゴシック" w:eastAsia="ＭＳ ゴシック"/>
                <w:b w:val="0"/>
                <w:i w:val="0"/>
                <w:smallCaps w:val="0"/>
                <w:sz w:val="22"/>
              </w:rPr>
              <w:t>”</w:t>
            </w:r>
            <w:r>
              <w:rPr>
                <w:rFonts w:hint="default" w:ascii="ＭＳ ゴシック" w:hAnsi="ＭＳ ゴシック" w:eastAsia="ＭＳ ゴシック"/>
                <w:b w:val="0"/>
                <w:i w:val="0"/>
                <w:smallCaps w:val="0"/>
                <w:sz w:val="22"/>
              </w:rPr>
              <w:t>日本で展開される技術</w:t>
            </w:r>
            <w:r>
              <w:rPr>
                <w:rFonts w:hint="default" w:ascii="ＭＳ ゴシック" w:hAnsi="ＭＳ ゴシック" w:eastAsia="ＭＳ ゴシック"/>
                <w:b w:val="0"/>
                <w:i w:val="0"/>
                <w:smallCaps w:val="0"/>
                <w:sz w:val="22"/>
              </w:rPr>
              <w:t>”Japan Technology</w:t>
            </w:r>
            <w:r>
              <w:rPr>
                <w:rFonts w:hint="default" w:ascii="ＭＳ ゴシック" w:hAnsi="ＭＳ ゴシック" w:eastAsia="ＭＳ ゴシック"/>
                <w:b w:val="0"/>
                <w:i w:val="0"/>
                <w:smallCaps w:val="0"/>
                <w:sz w:val="22"/>
              </w:rPr>
              <w:t>の略）が、世界に先駆けて解決する「まるごと未来都市」の実現を、地域と事業者と国が一体となって目指す取組み。</w:t>
            </w:r>
          </w:p>
        </w:tc>
      </w:tr>
      <w:tr>
        <w:trPr>
          <w:trHeight w:val="416"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スマート農業・林業・漁業</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農林水産業の人手不足や生産性向上などの課題を情報通信技術</w:t>
            </w:r>
            <w:r>
              <w:rPr>
                <w:rFonts w:hint="default" w:ascii="ＭＳ ゴシック" w:hAnsi="ＭＳ ゴシック" w:eastAsia="ＭＳ ゴシック"/>
                <w:b w:val="0"/>
                <w:i w:val="0"/>
                <w:smallCaps w:val="0"/>
                <w:sz w:val="22"/>
              </w:rPr>
              <w:t>(ICT)</w:t>
            </w:r>
            <w:r>
              <w:rPr>
                <w:rFonts w:hint="default" w:ascii="ＭＳ ゴシック" w:hAnsi="ＭＳ ゴシック" w:eastAsia="ＭＳ ゴシック"/>
                <w:b w:val="0"/>
                <w:i w:val="0"/>
                <w:smallCaps w:val="0"/>
                <w:sz w:val="22"/>
              </w:rPr>
              <w:t>を活用して解決しようとするもの。</w:t>
            </w:r>
          </w:p>
        </w:tc>
      </w:tr>
      <w:tr>
        <w:trPr>
          <w:trHeight w:val="652"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地方公共団体におけるオンライン利用促進指針</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各地方公共団体における申請・届出等手続の更なるオンライン利用の促進に向け、地域の実情等に応じ主体的かつ積極的な取組の参考となる指針。</w:t>
            </w:r>
          </w:p>
        </w:tc>
      </w:tr>
      <w:tr>
        <w:trPr>
          <w:trHeight w:val="528"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地方公共団体における情報セキュリティポリシーに関するガイドライン</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各地方公共団体が情報セキュリティポリシーの策定や見直しを行う際の参考として、情報セキュリティポリシーの考え方及び内容について解説したもの。</w:t>
            </w:r>
          </w:p>
        </w:tc>
      </w:tr>
      <w:tr>
        <w:trPr>
          <w:trHeight w:val="584"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チャット</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インターネットを利用して、リアルタイムで文字をタイプし、会話をすること。</w:t>
            </w:r>
          </w:p>
        </w:tc>
      </w:tr>
      <w:tr>
        <w:trPr>
          <w:trHeight w:val="37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チャットボット</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「チャット」と「ボット（ロボット）」を組み合わせた言葉で、</w:t>
            </w:r>
          </w:p>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チャット上の自動応答プログラム。</w:t>
            </w:r>
          </w:p>
        </w:tc>
      </w:tr>
      <w:tr>
        <w:trPr>
          <w:trHeight w:val="426"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超高速ブロードバンド</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eastAsia" w:ascii="ＭＳ ゴシック" w:hAnsi="ＭＳ ゴシック" w:eastAsia="ＭＳ ゴシック"/>
                <w:b w:val="0"/>
                <w:i w:val="0"/>
                <w:smallCaps w:val="0"/>
                <w:sz w:val="22"/>
              </w:rPr>
              <w:t>FTTH</w:t>
            </w:r>
            <w:r>
              <w:rPr>
                <w:rFonts w:hint="default" w:ascii="ＭＳ ゴシック" w:hAnsi="ＭＳ ゴシック" w:eastAsia="ＭＳ ゴシック"/>
                <w:b w:val="0"/>
                <w:i w:val="0"/>
                <w:smallCaps w:val="0"/>
                <w:sz w:val="22"/>
              </w:rPr>
              <w:t>（光ファイバーを使った家庭向けの通信サービス）及び下り伝送速度</w:t>
            </w:r>
            <w:r>
              <w:rPr>
                <w:rFonts w:hint="default" w:ascii="ＭＳ ゴシック" w:hAnsi="ＭＳ ゴシック" w:eastAsia="ＭＳ ゴシック"/>
                <w:b w:val="0"/>
                <w:i w:val="0"/>
                <w:smallCaps w:val="0"/>
                <w:sz w:val="22"/>
              </w:rPr>
              <w:t>30Mbps</w:t>
            </w:r>
            <w:r>
              <w:rPr>
                <w:rFonts w:hint="default" w:ascii="ＭＳ ゴシック" w:hAnsi="ＭＳ ゴシック" w:eastAsia="ＭＳ ゴシック"/>
                <w:b w:val="0"/>
                <w:i w:val="0"/>
                <w:smallCaps w:val="0"/>
                <w:sz w:val="22"/>
              </w:rPr>
              <w:t>以上の</w:t>
            </w:r>
            <w:r>
              <w:rPr>
                <w:rFonts w:hint="default" w:ascii="ＭＳ ゴシック" w:hAnsi="ＭＳ ゴシック" w:eastAsia="ＭＳ ゴシック"/>
                <w:b w:val="0"/>
                <w:i w:val="0"/>
                <w:smallCaps w:val="0"/>
                <w:sz w:val="22"/>
              </w:rPr>
              <w:t>CATV</w:t>
            </w:r>
            <w:r>
              <w:rPr>
                <w:rFonts w:hint="default" w:ascii="ＭＳ ゴシック" w:hAnsi="ＭＳ ゴシック" w:eastAsia="ＭＳ ゴシック"/>
                <w:b w:val="0"/>
                <w:i w:val="0"/>
                <w:smallCaps w:val="0"/>
                <w:sz w:val="22"/>
              </w:rPr>
              <w:t>インターネット。</w:t>
            </w:r>
          </w:p>
        </w:tc>
      </w:tr>
      <w:tr>
        <w:trPr>
          <w:trHeight w:val="662"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デジタル・ガバメント実行計画</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官民データ活用推進基本法及び「デジタル・ガバメント推進方針」に示された方向性を具体化し、実行することによって、安心、安全かつ公平、公正で豊かな社会を実現するための計画。</w:t>
            </w:r>
          </w:p>
        </w:tc>
      </w:tr>
      <w:tr>
        <w:trPr>
          <w:trHeight w:val="124"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デジタルデバイド</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ICT</w:t>
            </w:r>
            <w:r>
              <w:rPr>
                <w:rFonts w:hint="default" w:ascii="ＭＳ ゴシック" w:hAnsi="ＭＳ ゴシック" w:eastAsia="ＭＳ ゴシック"/>
                <w:b w:val="0"/>
                <w:i w:val="0"/>
                <w:smallCaps w:val="0"/>
                <w:sz w:val="22"/>
              </w:rPr>
              <w:t>技術を使える人と、そうでない人との間で生じる、地域的身体的社会的な格差。および、それにともなう社会問題。</w:t>
            </w:r>
          </w:p>
        </w:tc>
      </w:tr>
      <w:tr>
        <w:trPr>
          <w:trHeight w:val="108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テレワーク</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職員が所属する組織の所在場所（オフィス）から離れたところにおいて、通信ネットワーク及び</w:t>
            </w:r>
            <w:r>
              <w:rPr>
                <w:rFonts w:hint="default" w:ascii="ＭＳ ゴシック" w:hAnsi="ＭＳ ゴシック" w:eastAsia="ＭＳ ゴシック"/>
                <w:b w:val="0"/>
                <w:i w:val="0"/>
                <w:smallCaps w:val="0"/>
                <w:sz w:val="22"/>
              </w:rPr>
              <w:t>ICT</w:t>
            </w:r>
            <w:r>
              <w:rPr>
                <w:rFonts w:hint="default" w:ascii="ＭＳ ゴシック" w:hAnsi="ＭＳ ゴシック" w:eastAsia="ＭＳ ゴシック"/>
                <w:b w:val="0"/>
                <w:i w:val="0"/>
                <w:smallCaps w:val="0"/>
                <w:sz w:val="22"/>
              </w:rPr>
              <w:t>機器を活用して業務に従事することをいう。具体的には、「在宅勤務」「サテライトオフィス勤務」「モバイルワーク」の</w:t>
            </w:r>
            <w:r>
              <w:rPr>
                <w:rFonts w:hint="default" w:ascii="ＭＳ ゴシック" w:hAnsi="ＭＳ ゴシック" w:eastAsia="ＭＳ ゴシック"/>
                <w:b w:val="0"/>
                <w:i w:val="0"/>
                <w:smallCaps w:val="0"/>
                <w:sz w:val="22"/>
              </w:rPr>
              <w:t>3</w:t>
            </w:r>
            <w:r>
              <w:rPr>
                <w:rFonts w:hint="default" w:ascii="ＭＳ ゴシック" w:hAnsi="ＭＳ ゴシック" w:eastAsia="ＭＳ ゴシック"/>
                <w:b w:val="0"/>
                <w:i w:val="0"/>
                <w:smallCaps w:val="0"/>
                <w:sz w:val="22"/>
              </w:rPr>
              <w:t>つの形態がある。</w:t>
            </w:r>
          </w:p>
        </w:tc>
      </w:tr>
      <w:tr>
        <w:trPr>
          <w:trHeight w:val="1046"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電子署名</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電子データに付け加えられる暗号化の手続きで、本人により作成されたこと、改ざんが行われていないことを確認できるもの。紙文書の印かんやサインの役割を果たす。</w:t>
            </w:r>
          </w:p>
        </w:tc>
      </w:tr>
      <w:tr>
        <w:trPr>
          <w:trHeight w:val="562"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統合型</w:t>
            </w:r>
            <w:r>
              <w:rPr>
                <w:rFonts w:hint="default" w:ascii="ＭＳ ゴシック" w:hAnsi="ＭＳ ゴシック" w:eastAsia="ＭＳ ゴシック"/>
                <w:b w:val="0"/>
                <w:i w:val="0"/>
                <w:smallCaps w:val="0"/>
                <w:sz w:val="22"/>
              </w:rPr>
              <w:t>GIS</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Geographic Information Systems</w:t>
            </w:r>
            <w:r>
              <w:rPr>
                <w:rFonts w:hint="default" w:ascii="ＭＳ ゴシック" w:hAnsi="ＭＳ ゴシック" w:eastAsia="ＭＳ ゴシック"/>
                <w:b w:val="0"/>
                <w:i w:val="0"/>
                <w:smallCaps w:val="0"/>
                <w:sz w:val="22"/>
              </w:rPr>
              <w:t>の略。地理情報システム。地理情報をデジタル情報化し、様々な地理的位置や、空間に関する情報を持った自然、社会、経済等に関するデータ等を統合したもの。</w:t>
            </w:r>
          </w:p>
        </w:tc>
      </w:tr>
      <w:tr>
        <w:trPr>
          <w:trHeight w:val="348"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ドローン</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人が乗ることの出来ない無人航空機で、遠隔操作または自動操縦により飛行することができる重量</w:t>
            </w:r>
            <w:r>
              <w:rPr>
                <w:rFonts w:hint="default" w:ascii="ＭＳ ゴシック" w:hAnsi="ＭＳ ゴシック" w:eastAsia="ＭＳ ゴシック"/>
                <w:b w:val="0"/>
                <w:i w:val="0"/>
                <w:smallCaps w:val="0"/>
                <w:sz w:val="22"/>
              </w:rPr>
              <w:t>200g</w:t>
            </w:r>
            <w:r>
              <w:rPr>
                <w:rFonts w:hint="default" w:ascii="ＭＳ ゴシック" w:hAnsi="ＭＳ ゴシック" w:eastAsia="ＭＳ ゴシック"/>
                <w:b w:val="0"/>
                <w:i w:val="0"/>
                <w:smallCaps w:val="0"/>
                <w:sz w:val="22"/>
              </w:rPr>
              <w:t>以上のもの。</w:t>
            </w:r>
          </w:p>
        </w:tc>
      </w:tr>
      <w:tr>
        <w:trPr>
          <w:trHeight w:val="584"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ぴったりサービス</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子育て・介護・被災者支援に関する手続きなどのあらゆる分野の手続きについて、オンラインによる検索や書類作成、申請が可能なシステム。</w:t>
            </w:r>
          </w:p>
        </w:tc>
      </w:tr>
      <w:tr>
        <w:trPr>
          <w:trHeight w:val="37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マイナポータル</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マイナンバー制度の導入に併せて新たに構築した、国民一人ひとりが様々な官民のオンラインサービスを利用できるポータルサイト。</w:t>
            </w:r>
            <w:r>
              <w:rPr>
                <w:rFonts w:hint="default" w:ascii="ＭＳ ゴシック" w:hAnsi="ＭＳ ゴシック" w:eastAsia="ＭＳ ゴシック"/>
                <w:b w:val="0"/>
                <w:i w:val="0"/>
                <w:smallCaps w:val="0"/>
                <w:sz w:val="22"/>
              </w:rPr>
              <w:t xml:space="preserve"> </w:t>
            </w:r>
          </w:p>
        </w:tc>
      </w:tr>
      <w:tr>
        <w:trPr>
          <w:trHeight w:val="54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リテラシー（</w:t>
            </w:r>
            <w:r>
              <w:rPr>
                <w:rFonts w:hint="default" w:ascii="ＭＳ ゴシック" w:hAnsi="ＭＳ ゴシック" w:eastAsia="ＭＳ ゴシック"/>
                <w:b w:val="0"/>
                <w:i w:val="0"/>
                <w:smallCaps w:val="0"/>
                <w:sz w:val="22"/>
              </w:rPr>
              <w:t>ICT</w:t>
            </w:r>
            <w:r>
              <w:rPr>
                <w:rFonts w:hint="default" w:ascii="ＭＳ ゴシック" w:hAnsi="ＭＳ ゴシック" w:eastAsia="ＭＳ ゴシック"/>
                <w:b w:val="0"/>
                <w:i w:val="0"/>
                <w:smallCaps w:val="0"/>
                <w:sz w:val="22"/>
              </w:rPr>
              <w:t>）</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情報技術を適切に活用する基礎的な知識や技能。</w:t>
            </w:r>
          </w:p>
        </w:tc>
      </w:tr>
      <w:tr>
        <w:trPr>
          <w:trHeight w:val="212"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ローカル</w:t>
            </w:r>
            <w:r>
              <w:rPr>
                <w:rFonts w:hint="default" w:ascii="ＭＳ ゴシック" w:hAnsi="ＭＳ ゴシック" w:eastAsia="ＭＳ ゴシック"/>
                <w:b w:val="0"/>
                <w:i w:val="0"/>
                <w:smallCaps w:val="0"/>
                <w:sz w:val="22"/>
              </w:rPr>
              <w:t>5G</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企業や自治体が独自の</w:t>
            </w:r>
            <w:r>
              <w:rPr>
                <w:rFonts w:hint="default" w:ascii="ＭＳ ゴシック" w:hAnsi="ＭＳ ゴシック" w:eastAsia="ＭＳ ゴシック"/>
                <w:b w:val="0"/>
                <w:i w:val="0"/>
                <w:smallCaps w:val="0"/>
                <w:sz w:val="22"/>
              </w:rPr>
              <w:t>5G</w:t>
            </w:r>
            <w:r>
              <w:rPr>
                <w:rFonts w:hint="default" w:ascii="ＭＳ ゴシック" w:hAnsi="ＭＳ ゴシック" w:eastAsia="ＭＳ ゴシック"/>
                <w:b w:val="0"/>
                <w:i w:val="0"/>
                <w:smallCaps w:val="0"/>
                <w:sz w:val="22"/>
              </w:rPr>
              <w:t>通信システムを構築して自営利用できる通信システム。</w:t>
            </w:r>
          </w:p>
        </w:tc>
      </w:tr>
      <w:tr>
        <w:trPr>
          <w:trHeight w:val="1114"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ワークライフバランス</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仕事と生活の調和。仕事と育児や介護、趣味などの仕事以外の生活とのバランスを取り、両方を充実させる働き方や生き方のこと。テレワークなどを取り入れることでよりよいバランスを実現。</w:t>
            </w:r>
          </w:p>
        </w:tc>
      </w:tr>
    </w:tbl>
    <w:p>
      <w:pPr>
        <w:pStyle w:val="0"/>
        <w:ind w:left="0" w:leftChars="0" w:firstLine="0" w:firstLineChars="0"/>
        <w:rPr>
          <w:rFonts w:hint="eastAsia" w:ascii="ＭＳ ゴシック" w:hAnsi="ＭＳ ゴシック" w:eastAsia="ＭＳ ゴシック"/>
          <w:color w:val="auto"/>
          <w:sz w:val="22"/>
        </w:rPr>
      </w:pPr>
    </w:p>
    <w:sectPr>
      <w:footerReference r:id="rId8" w:type="even"/>
      <w:footerReference r:id="rId9" w:type="default"/>
      <w:footerReference r:id="rId7" w:type="first"/>
      <w:type w:val="continuous"/>
      <w:pgSz w:w="11906" w:h="16838"/>
      <w:pgMar w:top="1134" w:right="1080" w:bottom="1134" w:left="1080" w:header="851" w:footer="567" w:gutter="0"/>
      <w:pgBorders w:zOrder="front" w:display="allPages" w:offsetFrom="page"/>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ial Unicode MS">
    <w:panose1 w:val="00000000000000000000"/>
    <w:charset w:val="80"/>
    <w:family w:val="modern"/>
    <w:notTrueType/>
    <w:pitch w:val="variable"/>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AR勘亭流H">
    <w:panose1 w:val="00000000000000000000"/>
    <w:charset w:val="80"/>
    <w:family w:val="script"/>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ＤＨＰ平成ゴシックW5">
    <w:panose1 w:val="00000000000000000000"/>
    <w:charset w:val="80"/>
    <w:family w:val="modern"/>
    <w:notTrueType/>
    <w:pitch w:val="variable"/>
    <w:sig w:usb0="00000000" w:usb1="00000000" w:usb2="00000000" w:usb3="00000000" w:csb0="01008200" w:csb1="00000000"/>
  </w:font>
  <w:font w:name="ＤＦ平成明朝体W7">
    <w:panose1 w:val="00000000000000000000"/>
    <w:charset w:val="80"/>
    <w:family w:val="roma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ＤＨＰ行書体">
    <w:panose1 w:val="00000000000000000000"/>
    <w:charset w:val="80"/>
    <w:family w:val="script"/>
    <w:notTrueType/>
    <w:pitch w:val="variable"/>
    <w:sig w:usb0="00000000" w:usb1="00000000" w:usb2="00000000" w:usb3="00000000" w:csb0="01008200" w:csb1="00000000"/>
  </w:font>
  <w:font w:name="ＤＨＰ平成明朝体W7">
    <w:panose1 w:val="00000000000000000000"/>
    <w:charset w:val="80"/>
    <w:family w:val="roman"/>
    <w:notTrueType/>
    <w:pitch w:val="variable"/>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ＭＳ ゴシック" w:hAnsi="ＭＳ ゴシック" w:eastAsia="ＭＳ ゴシック"/>
        <w:sz w:val="28"/>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3"/>
            <w:rFonts w:hint="eastAsia" w:ascii="ＭＳ ゴシック" w:hAnsi="ＭＳ ゴシック" w:eastAsia="ＭＳ ゴシック"/>
            <w:sz w:val="28"/>
          </w:rPr>
          <w:t>2</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efaultTableStyle w:val="2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7"/>
    <w:uiPriority w:val="0"/>
    <w:qFormat/>
    <w:pPr>
      <w:keepNext w:val="1"/>
      <w:outlineLvl w:val="0"/>
    </w:pPr>
    <w:rPr>
      <w:rFonts w:asciiTheme="majorHAnsi" w:hAnsiTheme="majorHAnsi" w:eastAsiaTheme="majorEastAsia"/>
      <w:sz w:val="24"/>
    </w:rPr>
  </w:style>
  <w:style w:type="paragraph" w:styleId="2">
    <w:name w:val="heading 2"/>
    <w:basedOn w:val="0"/>
    <w:next w:val="0"/>
    <w:link w:val="18"/>
    <w:uiPriority w:val="0"/>
    <w:qFormat/>
    <w:pPr>
      <w:keepNext w:val="1"/>
      <w:outlineLvl w:val="1"/>
    </w:pPr>
    <w:rPr>
      <w:rFonts w:asciiTheme="majorHAnsi" w:hAnsiTheme="majorHAnsi" w:eastAsiaTheme="majorEastAsia"/>
    </w:rPr>
  </w:style>
  <w:style w:type="paragraph" w:styleId="3">
    <w:name w:val="heading 3"/>
    <w:basedOn w:val="0"/>
    <w:next w:val="0"/>
    <w:link w:val="19"/>
    <w:uiPriority w:val="0"/>
    <w:qFormat/>
    <w:pPr>
      <w:keepNext w:val="1"/>
      <w:ind w:left="400" w:leftChars="400"/>
      <w:outlineLvl w:val="2"/>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見出し 1 (文字)"/>
    <w:basedOn w:val="10"/>
    <w:next w:val="17"/>
    <w:link w:val="1"/>
    <w:uiPriority w:val="0"/>
    <w:rPr>
      <w:rFonts w:asciiTheme="majorHAnsi" w:hAnsiTheme="majorHAnsi" w:eastAsiaTheme="majorEastAsia"/>
      <w:sz w:val="24"/>
    </w:rPr>
  </w:style>
  <w:style w:type="character" w:styleId="18" w:customStyle="1">
    <w:name w:val="見出し 2 (文字)"/>
    <w:basedOn w:val="10"/>
    <w:next w:val="18"/>
    <w:link w:val="2"/>
    <w:uiPriority w:val="0"/>
    <w:rPr>
      <w:rFonts w:asciiTheme="majorHAnsi" w:hAnsiTheme="majorHAnsi" w:eastAsiaTheme="majorEastAsia"/>
    </w:rPr>
  </w:style>
  <w:style w:type="character" w:styleId="19" w:customStyle="1">
    <w:name w:val="見出し 3 (文字)"/>
    <w:basedOn w:val="10"/>
    <w:next w:val="19"/>
    <w:link w:val="3"/>
    <w:uiPriority w:val="0"/>
    <w:rPr>
      <w:rFonts w:asciiTheme="majorHAnsi" w:hAnsiTheme="majorHAnsi" w:eastAsiaTheme="majorEastAsia"/>
    </w:rPr>
  </w:style>
  <w:style w:type="paragraph" w:styleId="20">
    <w:name w:val="toc 3"/>
    <w:basedOn w:val="0"/>
    <w:next w:val="0"/>
    <w:link w:val="0"/>
    <w:uiPriority w:val="0"/>
    <w:pPr>
      <w:ind w:left="200" w:leftChars="200"/>
    </w:pPr>
  </w:style>
  <w:style w:type="paragraph" w:styleId="21">
    <w:name w:val="toc 2"/>
    <w:basedOn w:val="0"/>
    <w:next w:val="0"/>
    <w:link w:val="0"/>
    <w:uiPriority w:val="0"/>
    <w:pPr>
      <w:ind w:left="100" w:leftChars="100"/>
    </w:pPr>
  </w:style>
  <w:style w:type="paragraph" w:styleId="22">
    <w:name w:val="toc 1"/>
    <w:basedOn w:val="0"/>
    <w:next w:val="0"/>
    <w:link w:val="0"/>
    <w:uiPriority w:val="0"/>
    <w:pPr>
      <w:spacing w:line="290" w:lineRule="exact"/>
    </w:pPr>
    <w:rPr>
      <w:rFonts w:eastAsia="ＭＳ ゴシック"/>
      <w:sz w:val="22"/>
    </w:rPr>
  </w:style>
  <w:style w:type="character" w:styleId="23">
    <w:name w:val="page number"/>
    <w:basedOn w:val="10"/>
    <w:next w:val="23"/>
    <w:link w:val="0"/>
    <w:uiPriority w:val="0"/>
  </w:style>
  <w:style w:type="paragraph" w:styleId="24">
    <w:name w:val="Balloon Text"/>
    <w:basedOn w:val="0"/>
    <w:next w:val="24"/>
    <w:link w:val="0"/>
    <w:uiPriority w:val="0"/>
    <w:semiHidden/>
    <w:rPr>
      <w:rFonts w:asciiTheme="majorHAnsi" w:hAnsiTheme="majorHAnsi" w:eastAsiaTheme="majorEastAsia"/>
      <w:sz w:val="18"/>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 Id="rId10"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1360</TotalTime>
  <Pages>14</Pages>
  <Words>371</Words>
  <Characters>10843</Characters>
  <Application>JUST Note</Application>
  <Lines>2009</Lines>
  <Paragraphs>374</Paragraphs>
  <CharactersWithSpaces>10967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小野原 寛</dc:creator>
  <cp:lastModifiedBy>小野原 寛</cp:lastModifiedBy>
  <dcterms:created xsi:type="dcterms:W3CDTF">2021-12-10T05:35:00Z</dcterms:created>
  <dcterms:modified xsi:type="dcterms:W3CDTF">2022-02-21T04:24:24Z</dcterms:modified>
  <cp:revision>27</cp:revision>
</cp:coreProperties>
</file>